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07.xml.htm"/>
      <w:bookmarkStart w:id="1" w:name="ksform40611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Cynthia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TVARDI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SUGAR CREEK CTR BLVD, STE 525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Tvardi Therapeutics, Inc.</w:t>
              </w:r>
            </w:hyperlink>
            <w:r>
              <w:rPr/>
              <w:t xml:space="preserve"> [ </w:t>
            </w:r>
            <w:r>
              <w:rPr>
                <w:rFonts w:ascii="Times;serif" w:hAnsi="Times;serif"/>
                <w:color w:val="0000FF"/>
                <w:sz w:val="24"/>
                <w:shd w:fill="FFFFFF" w:val="clear"/>
              </w:rPr>
              <w:t>TVRD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100% of the shares underlying the option shall vest on the earlier of June 9, 2027 or the date of the Issuer's next annual meeting of stockholders, subject to the Reporting Person's continuous service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Conn,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9480" TargetMode="External"/><Relationship Id="rId5" Type="http://schemas.openxmlformats.org/officeDocument/2006/relationships/hyperlink" Target="http://www.sec.gov/cgi-bin/browse-edgar?action=getcompany&amp;CIK=00013468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3293</Characters>
  <CharactersWithSpaces>3842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