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20412-1_424b5.htm"/>
        <w:bookmarkStart w:id="1" w:name="kstm26204121_424b5"/>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557" w:after="437"/>
        <w:ind w:left="540" w:right="0" w:hanging="0"/>
        <w:jc w:val="right"/>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Filed Pursuant to Rule 424(b)(5)</w:t>
      </w:r>
      <w:r>
        <w:rPr>
          <w:rFonts w:ascii="Times New Roman;Times;serif" w:hAnsi="Times New Roman;Times;serif"/>
          <w:b/>
          <w:i w:val="false"/>
          <w:caps w:val="false"/>
          <w:smallCaps w:val="false"/>
          <w:color w:val="000000"/>
          <w:sz w:val="20"/>
        </w:rPr>
        <w:t>​</w:t>
      </w:r>
    </w:p>
    <w:p>
      <w:pPr>
        <w:pStyle w:val="TextBody"/>
        <w:bidi w:val="0"/>
        <w:spacing w:lineRule="atLeast" w:line="200" w:before="557" w:after="437"/>
        <w:jc w:val="right"/>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Registration No. 333-295496</w:t>
      </w:r>
      <w:r>
        <w:rPr>
          <w:rFonts w:ascii="Times New Roman;Times;serif" w:hAnsi="Times New Roman;Times;serif"/>
          <w:b/>
          <w:i w:val="false"/>
          <w:caps w:val="false"/>
          <w:smallCaps w:val="false"/>
          <w:color w:val="000000"/>
          <w:sz w:val="20"/>
        </w:rPr>
        <w:t>​</w:t>
      </w:r>
    </w:p>
    <w:p>
      <w:pPr>
        <w:pStyle w:val="TextBody"/>
        <w:bidi w:val="0"/>
        <w:spacing w:lineRule="atLeast" w:line="230"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PROSPECTUS SUPPLEMENT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(To Prospectus dated May 12, 2026)</w:t>
      </w:r>
      <w:r>
        <w:rPr>
          <w:rFonts w:ascii="Times New Roman;Times;serif" w:hAnsi="Times New Roman;Times;serif"/>
          <w:b/>
          <w:i w:val="false"/>
          <w:caps w:val="false"/>
          <w:smallCaps w:val="false"/>
          <w:color w:val="000000"/>
          <w:spacing w:val="4"/>
          <w:sz w:val="20"/>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1285875" cy="514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85875" cy="514350"/>
                    </a:xfrm>
                    <a:prstGeom prst="rect">
                      <a:avLst/>
                    </a:prstGeom>
                  </pic:spPr>
                </pic:pic>
              </a:graphicData>
            </a:graphic>
          </wp:inline>
        </w:drawing>
      </w:r>
      <w:r>
        <w:rPr>
          <w:caps w:val="false"/>
          <w:smallCaps w:val="false"/>
          <w:color w:val="000000"/>
        </w:rPr>
        <w:t xml:space="preserve"> </w:t>
      </w:r>
    </w:p>
    <w:p>
      <w:pPr>
        <w:pStyle w:val="TextBody"/>
        <w:bidi w:val="0"/>
        <w:spacing w:lineRule="atLeast" w:line="320" w:before="332"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Up to $9,689,765</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320" w:before="6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Common Stock</w:t>
      </w:r>
      <w:r>
        <w:rPr>
          <w:rFonts w:ascii="Times New Roman;Times;serif" w:hAnsi="Times New Roman;Times;serif"/>
          <w:b/>
          <w:i w:val="false"/>
          <w:caps w:val="false"/>
          <w:smallCaps w:val="false"/>
          <w:color w:val="000000"/>
          <w:spacing w:val="6"/>
          <w:sz w:val="28"/>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30" w:before="236" w:after="283"/>
        <w:ind w:left="540"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previously entered into a Capital on Demand™ Sales Agreement (the “Sales Agreement”) with JonesTrading Institutional Services LLC (“Jones”), relating to shares of our common stock, $0.001 par value per share, offered by this prospectus supplement and the accompanying prospectus. In accordance with the terms of the Sales Agreement, pursuant to this prospectus supplement and the accompanying prospectus, from time to time we may offer and sell shares of our common stock having an aggregate gross sales price of up to $9,689,765. We previously filed a prospectus dated May 12, 2026, relating to the offer and sale of our common stock under the Sales Agreement having an aggregate offering price of up to $12,500,000. No additional common stock will be sold under the previously filed prospectus following the date of this prospectus supplement. We sold an aggregate of 3,110,769 shares of common stock for an aggregate offering price of approximately $11.0 million in gross proceeds under the previously filed prospectus (the “Prior Sales”). </w:t>
      </w:r>
    </w:p>
    <w:p>
      <w:pPr>
        <w:pStyle w:val="TextBody"/>
        <w:bidi w:val="0"/>
        <w:spacing w:lineRule="atLeast" w:line="230" w:before="160" w:after="283"/>
        <w:ind w:left="540"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common stock is listed on the Nasdaq Capital Market (“Nasdaq”) under the symbol “TVRD.” On July 16, 2026, the last reported sale price of our common stock as reported on Nasdaq was $3.08 per share. </w:t>
      </w:r>
    </w:p>
    <w:p>
      <w:pPr>
        <w:pStyle w:val="TextBody"/>
        <w:bidi w:val="0"/>
        <w:spacing w:lineRule="atLeast" w:line="230" w:before="160" w:after="283"/>
        <w:ind w:left="540"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Sales of our common stock, if any, under this prospectus supplement may be made in sales deemed to be an “at the market offering” as defined in Rule 415(a)(4) promulgated under the Securities Act of 1933, as amended (the “Securities Act”). Jones is not required to sell any specific number or dollar amount of securities but will act as our sales agent using commercially reasonable efforts consistent with its normal trading and sales practices, on mutually agreed terms between Jones and us. There is no arrangement for funds to be received in any escrow, trust or similar arrangement. See “Plan of Distribution” beginning on page S-13 for additional information regarding the compensation to be paid to Jones. </w:t>
      </w:r>
    </w:p>
    <w:p>
      <w:pPr>
        <w:pStyle w:val="TextBody"/>
        <w:bidi w:val="0"/>
        <w:spacing w:lineRule="atLeast" w:line="230" w:before="160" w:after="283"/>
        <w:ind w:left="540"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Jones will be entitled to a commission of up to 3.0% of the aggregate gross proceeds of any shares of common stock sold under the Sales Agreement. In connection with the sale of our common stock on our behalf, Jones will be deemed to be an “underwriter” within the meaning of the Securities Act and the compensation of Jones will be deemed to be underwriting commissions or discounts. We have also agreed to provide indemnification and contributions to Jones against certain civil liabilities, including liabilities under the Securities Act and the Securities Exchange Act of 1934, as amended (the “Exchange Act”). </w:t>
      </w:r>
    </w:p>
    <w:p>
      <w:pPr>
        <w:pStyle w:val="TextBody"/>
        <w:bidi w:val="0"/>
        <w:spacing w:lineRule="atLeast" w:line="230" w:before="160" w:after="283"/>
        <w:ind w:left="540"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subject to General Instruction I.B.6 of Form S-3, which limits the amounts that we may sell under the Registration Statement of which this prospectus supplement forms a part. The aggregate market value of our common stock held by non-affiliates pursuant to General Instruction I.B.6 of Form S-3 is $62,208,945, which was calculated based on 12,441,789 shares of our outstanding common stock held by non-affiliates on July 16, 2026, at a price of $5.00 per share, the closing price of our common stock on July 8, 2026. During the prior twelve-calendar month period that ends on and includes the date of this prospectus supplement, we have sold approximately $11.0 million of common stock pursuant to General Instruction I.B.6.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30" w:before="238" w:after="283"/>
        <w:ind w:left="540" w:right="0" w:firstLine="400"/>
        <w:jc w:val="left"/>
        <w:rPr/>
      </w:pPr>
      <w:r>
        <w:rPr>
          <w:rFonts w:ascii="Times New Roman;Times;serif" w:hAnsi="Times New Roman;Times;serif"/>
          <w:b w:val="false"/>
          <w:i w:val="false"/>
          <w:caps w:val="false"/>
          <w:smallCaps w:val="false"/>
          <w:color w:val="000000"/>
          <w:spacing w:val="4"/>
          <w:sz w:val="20"/>
        </w:rPr>
        <w:t xml:space="preserve">Investing in our common stock involves a high degree of risk. You should review carefully the risks and uncertainties described under the heading “Risk Factors” beginning on page </w:t>
      </w:r>
      <w:hyperlink w:anchor="tRIFA">
        <w:r>
          <w:rPr>
            <w:rStyle w:val="InternetLink"/>
          </w:rPr>
          <w:t>S-7</w:t>
        </w:r>
      </w:hyperlink>
      <w:r>
        <w:rPr>
          <w:rFonts w:ascii="Times New Roman;Times;serif" w:hAnsi="Times New Roman;Times;serif"/>
          <w:b w:val="false"/>
          <w:i w:val="false"/>
          <w:caps w:val="false"/>
          <w:smallCaps w:val="false"/>
          <w:color w:val="000000"/>
          <w:spacing w:val="4"/>
          <w:sz w:val="20"/>
        </w:rPr>
        <w:t xml:space="preserve"> of this prospectus supplement as well as those contained in any related free writing prospectus we prepare or authorize in connection with this offering, and under similar headings in the documents that are incorporated by reference into this prospectus supplement concerning factors you should consider before investing in our common stock. </w:t>
      </w:r>
    </w:p>
    <w:p>
      <w:pPr>
        <w:pStyle w:val="TextBody"/>
        <w:bidi w:val="0"/>
        <w:spacing w:lineRule="atLeast" w:line="230" w:before="160" w:after="283"/>
        <w:ind w:left="540"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the Securities and Exchange Commission nor any state securities commission has approved or disapproved of these securities or passed upon the adequacy or accuracy of the disclosures in this prospectus supplement. Any representation to the contrary is a criminal offense.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400" w:before="318" w:after="283"/>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pacing w:val="-7"/>
          <w:sz w:val="36"/>
        </w:rPr>
        <w:t>Jones</w:t>
      </w:r>
      <w:r>
        <w:rPr>
          <w:rFonts w:ascii="Times New Roman;Times;serif" w:hAnsi="Times New Roman;Times;serif"/>
          <w:b/>
          <w:i w:val="false"/>
          <w:caps w:val="false"/>
          <w:smallCaps w:val="false"/>
          <w:color w:val="000000"/>
          <w:spacing w:val="7"/>
          <w:sz w:val="36"/>
        </w:rPr>
        <w:t xml:space="preserve"> </w:t>
      </w:r>
    </w:p>
    <w:p>
      <w:pPr>
        <w:pStyle w:val="TextBody"/>
        <w:bidi w:val="0"/>
        <w:spacing w:lineRule="atLeast" w:line="240" w:before="16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date of this prospectus supplement is July 17, 2026.</w:t>
      </w:r>
      <w:r>
        <w:rPr>
          <w:rFonts w:ascii="Times New Roman;Times;serif" w:hAnsi="Times New Roman;Time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w:t>
      </w:r>
      <w:bookmarkStart w:id="3" w:name="TOC2"/>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5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 Supplement</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7385"/>
        <w:gridCol w:w="109"/>
        <w:gridCol w:w="109"/>
        <w:gridCol w:w="109"/>
        <w:gridCol w:w="109"/>
        <w:gridCol w:w="603"/>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385" w:type="dxa"/>
            <w:tcBorders/>
            <w:shd w:fill="CCEEFF" w:val="clear"/>
            <w:vAlign w:val="center"/>
          </w:tcPr>
          <w:p>
            <w:pPr>
              <w:pStyle w:val="TableContents"/>
              <w:bidi w:val="0"/>
              <w:spacing w:before="0" w:after="0"/>
              <w:jc w:val="left"/>
              <w:rPr/>
            </w:pPr>
            <w:hyperlink w:anchor="tATP">
              <w:r>
                <w:rPr>
                  <w:rStyle w:val="InternetLink"/>
                  <w:spacing w:val="4"/>
                </w:rPr>
                <w:t xml:space="preserve">ABOUT THIS PROSPECTUS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03" w:type="dxa"/>
            <w:tcBorders/>
            <w:shd w:fill="CCEEFF" w:val="clear"/>
            <w:vAlign w:val="center"/>
          </w:tcPr>
          <w:p>
            <w:pPr>
              <w:pStyle w:val="TableContents"/>
              <w:bidi w:val="0"/>
              <w:spacing w:before="0" w:after="283"/>
              <w:jc w:val="right"/>
              <w:rPr/>
            </w:pPr>
            <w:hyperlink w:anchor="tATP">
              <w:r>
                <w:rPr>
                  <w:rStyle w:val="InternetLink"/>
                  <w:spacing w:val="4"/>
                </w:rPr>
                <w:t>S-1</w:t>
              </w:r>
            </w:hyperlink>
            <w:hyperlink w:anchor="tAT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85" w:type="dxa"/>
            <w:tcBorders/>
            <w:vAlign w:val="center"/>
          </w:tcPr>
          <w:p>
            <w:pPr>
              <w:pStyle w:val="TableContents"/>
              <w:bidi w:val="0"/>
              <w:spacing w:before="0" w:after="0"/>
              <w:jc w:val="left"/>
              <w:rPr/>
            </w:pPr>
            <w:hyperlink w:anchor="tPRSU">
              <w:r>
                <w:rPr>
                  <w:rStyle w:val="InternetLink"/>
                  <w:spacing w:val="4"/>
                </w:rPr>
                <w:t xml:space="preserve">PROSPECTUS SUMMARY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03" w:type="dxa"/>
            <w:tcBorders/>
            <w:vAlign w:val="center"/>
          </w:tcPr>
          <w:p>
            <w:pPr>
              <w:pStyle w:val="TableContents"/>
              <w:bidi w:val="0"/>
              <w:spacing w:before="0" w:after="283"/>
              <w:jc w:val="right"/>
              <w:rPr/>
            </w:pPr>
            <w:hyperlink w:anchor="tPRSU">
              <w:r>
                <w:rPr>
                  <w:rStyle w:val="InternetLink"/>
                  <w:spacing w:val="4"/>
                </w:rPr>
                <w:t>S-2</w:t>
              </w:r>
            </w:hyperlink>
            <w:hyperlink w:anchor="tPRSU">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85" w:type="dxa"/>
            <w:tcBorders/>
            <w:shd w:fill="CCEEFF" w:val="clear"/>
            <w:vAlign w:val="center"/>
          </w:tcPr>
          <w:p>
            <w:pPr>
              <w:pStyle w:val="TableContents"/>
              <w:bidi w:val="0"/>
              <w:spacing w:before="0" w:after="0"/>
              <w:jc w:val="left"/>
              <w:rPr/>
            </w:pPr>
            <w:hyperlink w:anchor="tRIFA">
              <w:r>
                <w:rPr>
                  <w:rStyle w:val="InternetLink"/>
                  <w:spacing w:val="4"/>
                </w:rPr>
                <w:t xml:space="preserve">RISK FACTORS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03" w:type="dxa"/>
            <w:tcBorders/>
            <w:shd w:fill="CCEEFF" w:val="clear"/>
            <w:vAlign w:val="center"/>
          </w:tcPr>
          <w:p>
            <w:pPr>
              <w:pStyle w:val="TableContents"/>
              <w:bidi w:val="0"/>
              <w:spacing w:before="0" w:after="283"/>
              <w:jc w:val="right"/>
              <w:rPr/>
            </w:pPr>
            <w:hyperlink w:anchor="tRIFA">
              <w:r>
                <w:rPr>
                  <w:rStyle w:val="InternetLink"/>
                  <w:spacing w:val="4"/>
                </w:rPr>
                <w:t>S-7</w:t>
              </w:r>
            </w:hyperlink>
            <w:hyperlink w:anchor="tRIF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85" w:type="dxa"/>
            <w:tcBorders/>
            <w:vAlign w:val="center"/>
          </w:tcPr>
          <w:p>
            <w:pPr>
              <w:pStyle w:val="TableContents"/>
              <w:bidi w:val="0"/>
              <w:spacing w:before="0" w:after="0"/>
              <w:jc w:val="left"/>
              <w:rPr/>
            </w:pPr>
            <w:hyperlink w:anchor="tSNRF">
              <w:r>
                <w:rPr>
                  <w:rStyle w:val="InternetLink"/>
                  <w:spacing w:val="4"/>
                </w:rPr>
                <w:t xml:space="preserve">SPECIAL NOTE REGARDING FORWARD-LOOKING STATEMENTS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03" w:type="dxa"/>
            <w:tcBorders/>
            <w:vAlign w:val="center"/>
          </w:tcPr>
          <w:p>
            <w:pPr>
              <w:pStyle w:val="TableContents"/>
              <w:bidi w:val="0"/>
              <w:spacing w:before="0" w:after="283"/>
              <w:jc w:val="right"/>
              <w:rPr/>
            </w:pPr>
            <w:hyperlink w:anchor="tSNRF">
              <w:r>
                <w:rPr>
                  <w:rStyle w:val="InternetLink"/>
                  <w:spacing w:val="4"/>
                </w:rPr>
                <w:t>S-9</w:t>
              </w:r>
            </w:hyperlink>
            <w:hyperlink w:anchor="tSNRF">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85" w:type="dxa"/>
            <w:tcBorders/>
            <w:shd w:fill="CCEEFF" w:val="clear"/>
            <w:vAlign w:val="center"/>
          </w:tcPr>
          <w:p>
            <w:pPr>
              <w:pStyle w:val="TableContents"/>
              <w:bidi w:val="0"/>
              <w:spacing w:before="0" w:after="0"/>
              <w:jc w:val="left"/>
              <w:rPr/>
            </w:pPr>
            <w:hyperlink w:anchor="tUOP">
              <w:r>
                <w:rPr>
                  <w:rStyle w:val="InternetLink"/>
                  <w:spacing w:val="4"/>
                </w:rPr>
                <w:t xml:space="preserve">USE OF PROCEEDS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03" w:type="dxa"/>
            <w:tcBorders/>
            <w:shd w:fill="CCEEFF" w:val="clear"/>
            <w:vAlign w:val="center"/>
          </w:tcPr>
          <w:p>
            <w:pPr>
              <w:pStyle w:val="TableContents"/>
              <w:bidi w:val="0"/>
              <w:spacing w:before="0" w:after="283"/>
              <w:jc w:val="right"/>
              <w:rPr/>
            </w:pPr>
            <w:hyperlink w:anchor="tUOP">
              <w:r>
                <w:rPr>
                  <w:rStyle w:val="InternetLink"/>
                  <w:spacing w:val="4"/>
                </w:rPr>
                <w:t>S-11</w:t>
              </w:r>
            </w:hyperlink>
            <w:hyperlink w:anchor="tUO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85" w:type="dxa"/>
            <w:tcBorders/>
            <w:vAlign w:val="center"/>
          </w:tcPr>
          <w:p>
            <w:pPr>
              <w:pStyle w:val="TableContents"/>
              <w:bidi w:val="0"/>
              <w:spacing w:before="0" w:after="0"/>
              <w:jc w:val="left"/>
              <w:rPr/>
            </w:pPr>
            <w:hyperlink w:anchor="tDIL">
              <w:r>
                <w:rPr>
                  <w:rStyle w:val="InternetLink"/>
                  <w:spacing w:val="4"/>
                </w:rPr>
                <w:t xml:space="preserve">DILUTION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03" w:type="dxa"/>
            <w:tcBorders/>
            <w:vAlign w:val="center"/>
          </w:tcPr>
          <w:p>
            <w:pPr>
              <w:pStyle w:val="TableContents"/>
              <w:bidi w:val="0"/>
              <w:spacing w:before="0" w:after="283"/>
              <w:jc w:val="right"/>
              <w:rPr/>
            </w:pPr>
            <w:hyperlink w:anchor="tDIL">
              <w:r>
                <w:rPr>
                  <w:rStyle w:val="InternetLink"/>
                  <w:spacing w:val="4"/>
                </w:rPr>
                <w:t>S-12</w:t>
              </w:r>
            </w:hyperlink>
            <w:hyperlink w:anchor="tDIL">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85" w:type="dxa"/>
            <w:tcBorders/>
            <w:shd w:fill="CCEEFF" w:val="clear"/>
            <w:vAlign w:val="center"/>
          </w:tcPr>
          <w:p>
            <w:pPr>
              <w:pStyle w:val="TableContents"/>
              <w:bidi w:val="0"/>
              <w:spacing w:before="0" w:after="0"/>
              <w:jc w:val="left"/>
              <w:rPr/>
            </w:pPr>
            <w:hyperlink w:anchor="tPOD">
              <w:r>
                <w:rPr>
                  <w:rStyle w:val="InternetLink"/>
                  <w:spacing w:val="4"/>
                </w:rPr>
                <w:t xml:space="preserve">PLAN OF DISTRIBUTION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03" w:type="dxa"/>
            <w:tcBorders/>
            <w:shd w:fill="CCEEFF" w:val="clear"/>
            <w:vAlign w:val="center"/>
          </w:tcPr>
          <w:p>
            <w:pPr>
              <w:pStyle w:val="TableContents"/>
              <w:bidi w:val="0"/>
              <w:spacing w:before="0" w:after="283"/>
              <w:jc w:val="right"/>
              <w:rPr/>
            </w:pPr>
            <w:hyperlink w:anchor="tPOD">
              <w:r>
                <w:rPr>
                  <w:rStyle w:val="InternetLink"/>
                  <w:spacing w:val="4"/>
                </w:rPr>
                <w:t>S-14</w:t>
              </w:r>
            </w:hyperlink>
            <w:hyperlink w:anchor="tPOD">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85" w:type="dxa"/>
            <w:tcBorders/>
            <w:vAlign w:val="center"/>
          </w:tcPr>
          <w:p>
            <w:pPr>
              <w:pStyle w:val="TableContents"/>
              <w:bidi w:val="0"/>
              <w:spacing w:before="0" w:after="0"/>
              <w:jc w:val="left"/>
              <w:rPr/>
            </w:pPr>
            <w:hyperlink w:anchor="tLEMA">
              <w:r>
                <w:rPr>
                  <w:rStyle w:val="InternetLink"/>
                  <w:spacing w:val="4"/>
                </w:rPr>
                <w:t xml:space="preserve">LEGAL MATTERS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03" w:type="dxa"/>
            <w:tcBorders/>
            <w:vAlign w:val="center"/>
          </w:tcPr>
          <w:p>
            <w:pPr>
              <w:pStyle w:val="TableContents"/>
              <w:bidi w:val="0"/>
              <w:spacing w:before="0" w:after="283"/>
              <w:jc w:val="right"/>
              <w:rPr/>
            </w:pPr>
            <w:hyperlink w:anchor="tLEMA">
              <w:r>
                <w:rPr>
                  <w:rStyle w:val="InternetLink"/>
                  <w:spacing w:val="4"/>
                </w:rPr>
                <w:t>S-16</w:t>
              </w:r>
            </w:hyperlink>
            <w:hyperlink w:anchor="tLEM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85" w:type="dxa"/>
            <w:tcBorders/>
            <w:shd w:fill="CCEEFF" w:val="clear"/>
            <w:vAlign w:val="center"/>
          </w:tcPr>
          <w:p>
            <w:pPr>
              <w:pStyle w:val="TableContents"/>
              <w:bidi w:val="0"/>
              <w:spacing w:before="0" w:after="0"/>
              <w:jc w:val="left"/>
              <w:rPr/>
            </w:pPr>
            <w:hyperlink w:anchor="tEXP">
              <w:r>
                <w:rPr>
                  <w:rStyle w:val="InternetLink"/>
                  <w:spacing w:val="4"/>
                </w:rPr>
                <w:t xml:space="preserve">EXPERTS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03" w:type="dxa"/>
            <w:tcBorders/>
            <w:shd w:fill="CCEEFF" w:val="clear"/>
            <w:vAlign w:val="center"/>
          </w:tcPr>
          <w:p>
            <w:pPr>
              <w:pStyle w:val="TableContents"/>
              <w:bidi w:val="0"/>
              <w:spacing w:before="0" w:after="283"/>
              <w:jc w:val="right"/>
              <w:rPr/>
            </w:pPr>
            <w:hyperlink w:anchor="tEXP">
              <w:r>
                <w:rPr>
                  <w:rStyle w:val="InternetLink"/>
                  <w:spacing w:val="4"/>
                </w:rPr>
                <w:t>S-16</w:t>
              </w:r>
            </w:hyperlink>
            <w:hyperlink w:anchor="tEX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85" w:type="dxa"/>
            <w:tcBorders/>
            <w:vAlign w:val="center"/>
          </w:tcPr>
          <w:p>
            <w:pPr>
              <w:pStyle w:val="TableContents"/>
              <w:bidi w:val="0"/>
              <w:spacing w:before="0" w:after="0"/>
              <w:jc w:val="left"/>
              <w:rPr/>
            </w:pPr>
            <w:hyperlink w:anchor="tWYCF">
              <w:r>
                <w:rPr>
                  <w:rStyle w:val="InternetLink"/>
                  <w:spacing w:val="4"/>
                </w:rPr>
                <w:t xml:space="preserve">WHERE YOU CAN FIND MORE INFORMATION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03" w:type="dxa"/>
            <w:tcBorders/>
            <w:vAlign w:val="center"/>
          </w:tcPr>
          <w:p>
            <w:pPr>
              <w:pStyle w:val="TableContents"/>
              <w:bidi w:val="0"/>
              <w:spacing w:before="0" w:after="283"/>
              <w:jc w:val="right"/>
              <w:rPr/>
            </w:pPr>
            <w:hyperlink w:anchor="tWYCF">
              <w:r>
                <w:rPr>
                  <w:rStyle w:val="InternetLink"/>
                  <w:spacing w:val="4"/>
                </w:rPr>
                <w:t>S-16</w:t>
              </w:r>
            </w:hyperlink>
            <w:hyperlink w:anchor="tWYCF">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85" w:type="dxa"/>
            <w:tcBorders/>
            <w:shd w:fill="CCEEFF" w:val="clear"/>
            <w:vAlign w:val="center"/>
          </w:tcPr>
          <w:p>
            <w:pPr>
              <w:pStyle w:val="TableContents"/>
              <w:bidi w:val="0"/>
              <w:spacing w:before="0" w:after="0"/>
              <w:jc w:val="left"/>
              <w:rPr/>
            </w:pPr>
            <w:hyperlink w:anchor="tIOCI">
              <w:r>
                <w:rPr>
                  <w:rStyle w:val="InternetLink"/>
                  <w:spacing w:val="4"/>
                </w:rPr>
                <w:t xml:space="preserve">INCORPORATION OF CERTAIN INFORMATION BY REFERENCE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03" w:type="dxa"/>
            <w:tcBorders/>
            <w:shd w:fill="CCEEFF" w:val="clear"/>
            <w:vAlign w:val="center"/>
          </w:tcPr>
          <w:p>
            <w:pPr>
              <w:pStyle w:val="TableContents"/>
              <w:bidi w:val="0"/>
              <w:spacing w:before="0" w:after="283"/>
              <w:jc w:val="right"/>
              <w:rPr/>
            </w:pPr>
            <w:hyperlink w:anchor="tIOCI">
              <w:r>
                <w:rPr>
                  <w:rStyle w:val="InternetLink"/>
                  <w:spacing w:val="4"/>
                </w:rPr>
                <w:t>S-17</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bl>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7580"/>
        <w:gridCol w:w="109"/>
        <w:gridCol w:w="109"/>
        <w:gridCol w:w="109"/>
        <w:gridCol w:w="109"/>
        <w:gridCol w:w="408"/>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580" w:type="dxa"/>
            <w:tcBorders/>
            <w:shd w:fill="CCEEFF" w:val="clear"/>
            <w:vAlign w:val="center"/>
          </w:tcPr>
          <w:p>
            <w:pPr>
              <w:pStyle w:val="TableContents"/>
              <w:bidi w:val="0"/>
              <w:spacing w:before="0" w:after="0"/>
              <w:jc w:val="left"/>
              <w:rPr/>
            </w:pPr>
            <w:hyperlink w:anchor="sATP">
              <w:r>
                <w:rPr>
                  <w:rStyle w:val="InternetLink"/>
                  <w:spacing w:val="4"/>
                </w:rPr>
                <w:t xml:space="preserve">ABOUT THIS PROSPECTUS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8" w:type="dxa"/>
            <w:tcBorders/>
            <w:shd w:fill="CCEEFF" w:val="clear"/>
            <w:vAlign w:val="center"/>
          </w:tcPr>
          <w:p>
            <w:pPr>
              <w:pStyle w:val="TableContents"/>
              <w:bidi w:val="0"/>
              <w:spacing w:before="0" w:after="283"/>
              <w:jc w:val="right"/>
              <w:rPr/>
            </w:pPr>
            <w:hyperlink w:anchor="sATP">
              <w:r>
                <w:rPr>
                  <w:rStyle w:val="InternetLink"/>
                  <w:spacing w:val="4"/>
                </w:rPr>
                <w:t>ii</w:t>
              </w:r>
            </w:hyperlink>
            <w:hyperlink w:anchor="sAT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0" w:type="dxa"/>
            <w:tcBorders/>
            <w:vAlign w:val="center"/>
          </w:tcPr>
          <w:p>
            <w:pPr>
              <w:pStyle w:val="TableContents"/>
              <w:bidi w:val="0"/>
              <w:spacing w:before="0" w:after="0"/>
              <w:jc w:val="left"/>
              <w:rPr/>
            </w:pPr>
            <w:hyperlink w:anchor="sSUM">
              <w:r>
                <w:rPr>
                  <w:rStyle w:val="InternetLink"/>
                  <w:spacing w:val="4"/>
                </w:rPr>
                <w:t xml:space="preserve">SUMMARY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8" w:type="dxa"/>
            <w:tcBorders/>
            <w:vAlign w:val="center"/>
          </w:tcPr>
          <w:p>
            <w:pPr>
              <w:pStyle w:val="TableContents"/>
              <w:bidi w:val="0"/>
              <w:spacing w:before="0" w:after="283"/>
              <w:jc w:val="right"/>
              <w:rPr/>
            </w:pPr>
            <w:hyperlink w:anchor="sSUM">
              <w:r>
                <w:rPr>
                  <w:rStyle w:val="InternetLink"/>
                  <w:spacing w:val="4"/>
                </w:rPr>
                <w:t>1</w:t>
              </w:r>
            </w:hyperlink>
            <w:hyperlink w:anchor="sSUM">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0" w:type="dxa"/>
            <w:tcBorders/>
            <w:shd w:fill="CCEEFF" w:val="clear"/>
            <w:vAlign w:val="center"/>
          </w:tcPr>
          <w:p>
            <w:pPr>
              <w:pStyle w:val="TableContents"/>
              <w:bidi w:val="0"/>
              <w:spacing w:before="0" w:after="0"/>
              <w:jc w:val="left"/>
              <w:rPr/>
            </w:pPr>
            <w:hyperlink w:anchor="sRIFA">
              <w:r>
                <w:rPr>
                  <w:rStyle w:val="InternetLink"/>
                  <w:spacing w:val="4"/>
                </w:rPr>
                <w:t xml:space="preserve">RISK FACTORS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8" w:type="dxa"/>
            <w:tcBorders/>
            <w:shd w:fill="CCEEFF" w:val="clear"/>
            <w:vAlign w:val="center"/>
          </w:tcPr>
          <w:p>
            <w:pPr>
              <w:pStyle w:val="TableContents"/>
              <w:bidi w:val="0"/>
              <w:spacing w:before="0" w:after="283"/>
              <w:jc w:val="right"/>
              <w:rPr/>
            </w:pPr>
            <w:hyperlink w:anchor="sRIFA">
              <w:r>
                <w:rPr>
                  <w:rStyle w:val="InternetLink"/>
                  <w:spacing w:val="4"/>
                </w:rPr>
                <w:t>6</w:t>
              </w:r>
            </w:hyperlink>
            <w:hyperlink w:anchor="sRIF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0" w:type="dxa"/>
            <w:tcBorders/>
            <w:vAlign w:val="center"/>
          </w:tcPr>
          <w:p>
            <w:pPr>
              <w:pStyle w:val="TableContents"/>
              <w:bidi w:val="0"/>
              <w:spacing w:before="0" w:after="0"/>
              <w:jc w:val="left"/>
              <w:rPr/>
            </w:pPr>
            <w:hyperlink w:anchor="sSNRF">
              <w:r>
                <w:rPr>
                  <w:rStyle w:val="InternetLink"/>
                  <w:spacing w:val="4"/>
                </w:rPr>
                <w:t xml:space="preserve">SPECIAL NOTE REGARDING FORWARD-LOOKING STATEMENTS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8" w:type="dxa"/>
            <w:tcBorders/>
            <w:vAlign w:val="center"/>
          </w:tcPr>
          <w:p>
            <w:pPr>
              <w:pStyle w:val="TableContents"/>
              <w:bidi w:val="0"/>
              <w:spacing w:before="0" w:after="283"/>
              <w:jc w:val="right"/>
              <w:rPr/>
            </w:pPr>
            <w:hyperlink w:anchor="sSNRF">
              <w:r>
                <w:rPr>
                  <w:rStyle w:val="InternetLink"/>
                  <w:spacing w:val="4"/>
                </w:rPr>
                <w:t>7</w:t>
              </w:r>
            </w:hyperlink>
            <w:hyperlink w:anchor="sSNRF">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0" w:type="dxa"/>
            <w:tcBorders/>
            <w:shd w:fill="CCEEFF" w:val="clear"/>
            <w:vAlign w:val="center"/>
          </w:tcPr>
          <w:p>
            <w:pPr>
              <w:pStyle w:val="TableContents"/>
              <w:bidi w:val="0"/>
              <w:spacing w:before="0" w:after="0"/>
              <w:jc w:val="left"/>
              <w:rPr/>
            </w:pPr>
            <w:hyperlink w:anchor="sUOP">
              <w:r>
                <w:rPr>
                  <w:rStyle w:val="InternetLink"/>
                  <w:spacing w:val="4"/>
                </w:rPr>
                <w:t xml:space="preserve">USE OF PROCEEDS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8" w:type="dxa"/>
            <w:tcBorders/>
            <w:shd w:fill="CCEEFF" w:val="clear"/>
            <w:vAlign w:val="center"/>
          </w:tcPr>
          <w:p>
            <w:pPr>
              <w:pStyle w:val="TableContents"/>
              <w:bidi w:val="0"/>
              <w:spacing w:before="0" w:after="283"/>
              <w:jc w:val="right"/>
              <w:rPr/>
            </w:pPr>
            <w:hyperlink w:anchor="sUOP">
              <w:r>
                <w:rPr>
                  <w:rStyle w:val="InternetLink"/>
                  <w:spacing w:val="4"/>
                </w:rPr>
                <w:t>9</w:t>
              </w:r>
            </w:hyperlink>
            <w:hyperlink w:anchor="sUO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0" w:type="dxa"/>
            <w:tcBorders/>
            <w:vAlign w:val="center"/>
          </w:tcPr>
          <w:p>
            <w:pPr>
              <w:pStyle w:val="TableContents"/>
              <w:bidi w:val="0"/>
              <w:spacing w:before="0" w:after="0"/>
              <w:jc w:val="left"/>
              <w:rPr/>
            </w:pPr>
            <w:hyperlink w:anchor="sDOCS">
              <w:r>
                <w:rPr>
                  <w:rStyle w:val="InternetLink"/>
                  <w:spacing w:val="4"/>
                </w:rPr>
                <w:t xml:space="preserve">DESCRIPTION OF CAPITAL STOCK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8" w:type="dxa"/>
            <w:tcBorders/>
            <w:vAlign w:val="center"/>
          </w:tcPr>
          <w:p>
            <w:pPr>
              <w:pStyle w:val="TableContents"/>
              <w:bidi w:val="0"/>
              <w:spacing w:before="0" w:after="283"/>
              <w:jc w:val="right"/>
              <w:rPr/>
            </w:pPr>
            <w:hyperlink w:anchor="sDOCS">
              <w:r>
                <w:rPr>
                  <w:rStyle w:val="InternetLink"/>
                  <w:spacing w:val="4"/>
                </w:rPr>
                <w:t>10</w:t>
              </w:r>
            </w:hyperlink>
            <w:hyperlink w:anchor="sDOCS">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0" w:type="dxa"/>
            <w:tcBorders/>
            <w:shd w:fill="CCEEFF" w:val="clear"/>
            <w:vAlign w:val="center"/>
          </w:tcPr>
          <w:p>
            <w:pPr>
              <w:pStyle w:val="TableContents"/>
              <w:bidi w:val="0"/>
              <w:spacing w:before="0" w:after="0"/>
              <w:jc w:val="left"/>
              <w:rPr/>
            </w:pPr>
            <w:hyperlink w:anchor="sDODS">
              <w:r>
                <w:rPr>
                  <w:rStyle w:val="InternetLink"/>
                  <w:spacing w:val="4"/>
                </w:rPr>
                <w:t xml:space="preserve">DESCRIPTION OF DEBT SECURITIES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8" w:type="dxa"/>
            <w:tcBorders/>
            <w:shd w:fill="CCEEFF" w:val="clear"/>
            <w:vAlign w:val="center"/>
          </w:tcPr>
          <w:p>
            <w:pPr>
              <w:pStyle w:val="TableContents"/>
              <w:bidi w:val="0"/>
              <w:spacing w:before="0" w:after="283"/>
              <w:jc w:val="right"/>
              <w:rPr/>
            </w:pPr>
            <w:hyperlink w:anchor="sDODS">
              <w:r>
                <w:rPr>
                  <w:rStyle w:val="InternetLink"/>
                  <w:spacing w:val="4"/>
                </w:rPr>
                <w:t>15</w:t>
              </w:r>
            </w:hyperlink>
            <w:hyperlink w:anchor="sDODS">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0" w:type="dxa"/>
            <w:tcBorders/>
            <w:vAlign w:val="center"/>
          </w:tcPr>
          <w:p>
            <w:pPr>
              <w:pStyle w:val="TableContents"/>
              <w:bidi w:val="0"/>
              <w:spacing w:before="0" w:after="0"/>
              <w:jc w:val="left"/>
              <w:rPr/>
            </w:pPr>
            <w:hyperlink w:anchor="sDOW">
              <w:r>
                <w:rPr>
                  <w:rStyle w:val="InternetLink"/>
                  <w:spacing w:val="4"/>
                </w:rPr>
                <w:t xml:space="preserve">DESCRIPTION OF WARRANTS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8" w:type="dxa"/>
            <w:tcBorders/>
            <w:vAlign w:val="center"/>
          </w:tcPr>
          <w:p>
            <w:pPr>
              <w:pStyle w:val="TableContents"/>
              <w:bidi w:val="0"/>
              <w:spacing w:before="0" w:after="283"/>
              <w:jc w:val="right"/>
              <w:rPr/>
            </w:pPr>
            <w:hyperlink w:anchor="sDOW">
              <w:r>
                <w:rPr>
                  <w:rStyle w:val="InternetLink"/>
                  <w:spacing w:val="4"/>
                </w:rPr>
                <w:t>22</w:t>
              </w:r>
            </w:hyperlink>
            <w:hyperlink w:anchor="sDOW">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0" w:type="dxa"/>
            <w:tcBorders/>
            <w:shd w:fill="CCEEFF" w:val="clear"/>
            <w:vAlign w:val="center"/>
          </w:tcPr>
          <w:p>
            <w:pPr>
              <w:pStyle w:val="TableContents"/>
              <w:bidi w:val="0"/>
              <w:spacing w:before="0" w:after="0"/>
              <w:jc w:val="left"/>
              <w:rPr/>
            </w:pPr>
            <w:hyperlink w:anchor="sLOOS">
              <w:r>
                <w:rPr>
                  <w:rStyle w:val="InternetLink"/>
                  <w:spacing w:val="4"/>
                </w:rPr>
                <w:t xml:space="preserve">LEGAL OWNERSHIP OF SECURITIES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8" w:type="dxa"/>
            <w:tcBorders/>
            <w:shd w:fill="CCEEFF" w:val="clear"/>
            <w:vAlign w:val="center"/>
          </w:tcPr>
          <w:p>
            <w:pPr>
              <w:pStyle w:val="TableContents"/>
              <w:bidi w:val="0"/>
              <w:spacing w:before="0" w:after="283"/>
              <w:jc w:val="right"/>
              <w:rPr/>
            </w:pPr>
            <w:hyperlink w:anchor="sLOOS">
              <w:r>
                <w:rPr>
                  <w:rStyle w:val="InternetLink"/>
                  <w:spacing w:val="4"/>
                </w:rPr>
                <w:t>24</w:t>
              </w:r>
            </w:hyperlink>
            <w:hyperlink w:anchor="sLOOS">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0" w:type="dxa"/>
            <w:tcBorders/>
            <w:vAlign w:val="center"/>
          </w:tcPr>
          <w:p>
            <w:pPr>
              <w:pStyle w:val="TableContents"/>
              <w:bidi w:val="0"/>
              <w:spacing w:before="0" w:after="0"/>
              <w:jc w:val="left"/>
              <w:rPr/>
            </w:pPr>
            <w:hyperlink w:anchor="sPOD">
              <w:r>
                <w:rPr>
                  <w:rStyle w:val="InternetLink"/>
                  <w:spacing w:val="4"/>
                </w:rPr>
                <w:t xml:space="preserve">PLAN OF DISTRIBUTION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8" w:type="dxa"/>
            <w:tcBorders/>
            <w:vAlign w:val="center"/>
          </w:tcPr>
          <w:p>
            <w:pPr>
              <w:pStyle w:val="TableContents"/>
              <w:bidi w:val="0"/>
              <w:spacing w:before="0" w:after="283"/>
              <w:jc w:val="right"/>
              <w:rPr/>
            </w:pPr>
            <w:hyperlink w:anchor="sPOD">
              <w:r>
                <w:rPr>
                  <w:rStyle w:val="InternetLink"/>
                  <w:spacing w:val="4"/>
                </w:rPr>
                <w:t>27</w:t>
              </w:r>
            </w:hyperlink>
            <w:hyperlink w:anchor="sPOD">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0" w:type="dxa"/>
            <w:tcBorders/>
            <w:shd w:fill="CCEEFF" w:val="clear"/>
            <w:vAlign w:val="center"/>
          </w:tcPr>
          <w:p>
            <w:pPr>
              <w:pStyle w:val="TableContents"/>
              <w:bidi w:val="0"/>
              <w:spacing w:before="0" w:after="0"/>
              <w:jc w:val="left"/>
              <w:rPr/>
            </w:pPr>
            <w:hyperlink w:anchor="sLEMA">
              <w:r>
                <w:rPr>
                  <w:rStyle w:val="InternetLink"/>
                  <w:spacing w:val="4"/>
                </w:rPr>
                <w:t xml:space="preserve">LEGAL MATTERS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8" w:type="dxa"/>
            <w:tcBorders/>
            <w:shd w:fill="CCEEFF" w:val="clear"/>
            <w:vAlign w:val="center"/>
          </w:tcPr>
          <w:p>
            <w:pPr>
              <w:pStyle w:val="TableContents"/>
              <w:bidi w:val="0"/>
              <w:spacing w:before="0" w:after="283"/>
              <w:jc w:val="right"/>
              <w:rPr/>
            </w:pPr>
            <w:hyperlink w:anchor="sLEMA">
              <w:r>
                <w:rPr>
                  <w:rStyle w:val="InternetLink"/>
                  <w:spacing w:val="4"/>
                </w:rPr>
                <w:t>29</w:t>
              </w:r>
            </w:hyperlink>
            <w:hyperlink w:anchor="sLEM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0" w:type="dxa"/>
            <w:tcBorders/>
            <w:vAlign w:val="center"/>
          </w:tcPr>
          <w:p>
            <w:pPr>
              <w:pStyle w:val="TableContents"/>
              <w:bidi w:val="0"/>
              <w:spacing w:before="0" w:after="0"/>
              <w:jc w:val="left"/>
              <w:rPr/>
            </w:pPr>
            <w:hyperlink w:anchor="sEXP">
              <w:r>
                <w:rPr>
                  <w:rStyle w:val="InternetLink"/>
                  <w:spacing w:val="4"/>
                </w:rPr>
                <w:t xml:space="preserve">EXPERTS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8" w:type="dxa"/>
            <w:tcBorders/>
            <w:vAlign w:val="center"/>
          </w:tcPr>
          <w:p>
            <w:pPr>
              <w:pStyle w:val="TableContents"/>
              <w:bidi w:val="0"/>
              <w:spacing w:before="0" w:after="283"/>
              <w:jc w:val="right"/>
              <w:rPr/>
            </w:pPr>
            <w:hyperlink w:anchor="sEXP">
              <w:r>
                <w:rPr>
                  <w:rStyle w:val="InternetLink"/>
                  <w:spacing w:val="4"/>
                </w:rPr>
                <w:t>29</w:t>
              </w:r>
            </w:hyperlink>
            <w:hyperlink w:anchor="sEX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0" w:type="dxa"/>
            <w:tcBorders/>
            <w:shd w:fill="CCEEFF" w:val="clear"/>
            <w:vAlign w:val="center"/>
          </w:tcPr>
          <w:p>
            <w:pPr>
              <w:pStyle w:val="TableContents"/>
              <w:bidi w:val="0"/>
              <w:spacing w:before="0" w:after="0"/>
              <w:jc w:val="left"/>
              <w:rPr/>
            </w:pPr>
            <w:hyperlink w:anchor="sWYCF">
              <w:r>
                <w:rPr>
                  <w:rStyle w:val="InternetLink"/>
                  <w:spacing w:val="4"/>
                </w:rPr>
                <w:t xml:space="preserve">WHERE YOU CAN FIND MORE INFORMATION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8" w:type="dxa"/>
            <w:tcBorders/>
            <w:shd w:fill="CCEEFF" w:val="clear"/>
            <w:vAlign w:val="center"/>
          </w:tcPr>
          <w:p>
            <w:pPr>
              <w:pStyle w:val="TableContents"/>
              <w:bidi w:val="0"/>
              <w:spacing w:before="0" w:after="283"/>
              <w:jc w:val="right"/>
              <w:rPr/>
            </w:pPr>
            <w:hyperlink w:anchor="sWYCF">
              <w:r>
                <w:rPr>
                  <w:rStyle w:val="InternetLink"/>
                  <w:spacing w:val="4"/>
                </w:rPr>
                <w:t>29</w:t>
              </w:r>
            </w:hyperlink>
            <w:hyperlink w:anchor="sWYCF">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0" w:type="dxa"/>
            <w:tcBorders/>
            <w:vAlign w:val="center"/>
          </w:tcPr>
          <w:p>
            <w:pPr>
              <w:pStyle w:val="TableContents"/>
              <w:bidi w:val="0"/>
              <w:spacing w:before="0" w:after="0"/>
              <w:jc w:val="left"/>
              <w:rPr/>
            </w:pPr>
            <w:hyperlink w:anchor="sIOCI">
              <w:r>
                <w:rPr>
                  <w:rStyle w:val="InternetLink"/>
                  <w:spacing w:val="4"/>
                </w:rPr>
                <w:t xml:space="preserve">INCORPORATION OF CERTAIN INFORMATION BY REFERENCE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8" w:type="dxa"/>
            <w:tcBorders/>
            <w:vAlign w:val="center"/>
          </w:tcPr>
          <w:p>
            <w:pPr>
              <w:pStyle w:val="TableContents"/>
              <w:bidi w:val="0"/>
              <w:spacing w:before="0" w:after="283"/>
              <w:jc w:val="right"/>
              <w:rPr/>
            </w:pPr>
            <w:hyperlink w:anchor="sIOCI">
              <w:r>
                <w:rPr>
                  <w:rStyle w:val="InternetLink"/>
                  <w:spacing w:val="4"/>
                </w:rPr>
                <w:t>30</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tATP"/>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relates to an offering of our common stock. Before buying any of the common stock that we are offering, we urge you to carefully read this prospectus, together with the information incorporated by reference as described under the headings “Where You Can Find More Information” and “Incorporation of Certain Information by Reference” in this prospectus. These documents contain important information that you should consider when making your investment decision. </w:t>
      </w:r>
    </w:p>
    <w:p>
      <w:pPr>
        <w:pStyle w:val="TextBody"/>
        <w:bidi w:val="0"/>
        <w:spacing w:lineRule="atLeast" w:line="23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the context requires otherwise, references in this prospectus to “Tvardi,” the “Company,” “we,” “us” and “our” refer to Tvardi Therapeutics, Inc. </w:t>
      </w:r>
    </w:p>
    <w:p>
      <w:pPr>
        <w:pStyle w:val="TextBody"/>
        <w:bidi w:val="0"/>
        <w:spacing w:lineRule="atLeast" w:line="23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describes the terms of this offering of common stock and also adds to, updates and changes information contained in the documents incorporated by reference into this prospectus. To the extent there is a conflict between the information contained in this prospectus, on the one hand, and the information contained in any document incorporated by reference that was filed with the Securities and Exchange Commission (“SEC”), before the date of this prospectus, on the other hand, you should rely on the information in this prospectus. If any statement in one of these documents is inconsistent with a statement in another document having a later date — for example, a document incorporated by reference into this prospectus — the statement in the document having the later date modifies or supersedes the earlier statement. </w:t>
      </w:r>
    </w:p>
    <w:p>
      <w:pPr>
        <w:pStyle w:val="TextBody"/>
        <w:bidi w:val="0"/>
        <w:spacing w:lineRule="atLeast" w:line="23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not, and Jones has not, authorized anyone to provide you with information different from that which is contained in or incorporated by reference in this prospectus and in any free writing prospectus that we may authorize for use in connection with this offering. No one is making offers to sell or seeking offers to buy these securities in any jurisdiction where the offer or sale is not permitted. You should assume that the information contained in this prospectus is accurate as of the date on the front cover of this prospectus only and that any information we have incorporated by reference is accurate only as of the date given in the document incorporated by reference or as of the date of the prospectus, as applicable, regardless of the time of delivery of this prospectus, any related free writing prospectus, or any sale of our common stock. </w:t>
      </w:r>
    </w:p>
    <w:p>
      <w:pPr>
        <w:pStyle w:val="TextBody"/>
        <w:bidi w:val="0"/>
        <w:spacing w:lineRule="atLeast" w:line="23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business, financial condition, results of operations and prospects may have changed since those dates. This prospectus contains and incorporates by reference market data and industry statistics and forecasts that are based on independent industry publications and other publicly available information. Although we believe that these sources are reliable, we do not guarantee the accuracy or completeness of this information and we have not independently verified this information. Although we are not aware of any misstatements regarding the market and industry data presented in this prospectus and the documents incorporated herein by reference, these estimates involve risks and uncertainties and are subject to change based on various factors, including those discussed under the heading “Risk Factors” contained herein and under similar headings in the documents that are incorporated by reference into this prospectus. </w:t>
      </w:r>
    </w:p>
    <w:p>
      <w:pPr>
        <w:pStyle w:val="TextBody"/>
        <w:bidi w:val="0"/>
        <w:spacing w:lineRule="atLeast" w:line="240" w:before="10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Accordingly, investors should not place undue reliance on this information. </w:t>
      </w:r>
    </w:p>
    <w:p>
      <w:pPr>
        <w:pStyle w:val="TextBody"/>
        <w:bidi w:val="0"/>
        <w:spacing w:lineRule="atLeast" w:line="23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section entitled “Where You Can Find More Information.” </w:t>
      </w:r>
    </w:p>
    <w:p>
      <w:pPr>
        <w:pStyle w:val="TextBody"/>
        <w:bidi w:val="0"/>
        <w:spacing w:lineRule="atLeast" w:line="24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further note that the representations, warranties and covenants made by us in any agreement that is filed as an exhibit to any document that is incorporated by reference into this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 </w:t>
      </w:r>
    </w:p>
    <w:p>
      <w:pPr>
        <w:pStyle w:val="TextBody"/>
        <w:bidi w:val="0"/>
        <w:spacing w:lineRule="atLeast" w:line="240" w:before="10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prospectus, including the information incorporated by reference into this prospectus, include trademarks, service marks and trade names owned by us or others. All trademarks, service marks and trade names included or incorporated by reference in this prospectus or any related free writing prospectuses are the property of their respective owners.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tPRSU"/>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PROSPECTUS SUMMARY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This summary highlights certain information about us and this offering and selected information contained elsewhere in or incorporated by reference into this prospectus. This summary is not complete and does not contain all of the information that you should consider before deciding whether to invest in our common stock. For a more complete understanding of the Company and this offering, we encourage you to read and consider carefully the more detailed information in this prospectus, including the information incorporated by reference into this prospectus, and the information included in any free writing prospectus that we authorize for use in connection with this offering, including the information contained in and incorporated by reference under the heading “Risk Factors” beginning on page S-6 of this prospectus, and under similar headings in the other documents that are filed after the date hereof and incorporated by reference into this prospectus.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Company Overview</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are a clinical-stage biopharmaceutical company focused on the development of novel, oral, small molecule therapies targeting Signal Transducer and Activator of Transcription 3 (“STAT3”) to treat inflammatory and proliferative diseases with significant unmet need. Based upon our founders’ seminal work and deep understanding of the transcription factor STAT3, we have designed an innovative approach to directly inhibit STAT3, a highly validated, yet historically undruggable target. Leveraging this expertise, we are developing a pipeline of STAT3 inhibitors with a differentiated mechanism of action and convenient oral dosing.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Our pipeline includes two oral, small molecule STAT3 inhibitors: TTI-101 and TTI-109. TTI-101 is our first-generation direct STAT3 inhibitor, currently in Phase 1b/2 clinical development in hepatocellular carcinoma (“HCC”). We expect to report topline data of TTI-101 across the three cohorts of the REVERT LIVER CANCER Phase 1b/2 clinical trial in patients with HCC. TTI-109 is a phosphate prodrug of TTI-101 that is mechanistically identical to its parent molecule but is designed to enhance systemic drug delivery and improve tolerability. We submitted an Investigational New Drug (“IND”) application for TTI-109 in June 2025 and, following FDA acceptance, initiated a Phase 1 trial in healthy volunteers evaluating safety, tolerability, pharmacokinetics and bioequivalence to TTI-101. We reported positive topline data from this trial in July 2026. The study confirmed rapid prodrug conversion, dose-proportional pharmacokinetics with exposures above the STAT3 IC</w:t>
      </w:r>
      <w:r>
        <w:rPr>
          <w:rFonts w:ascii="Times New Roman;Times;serif" w:hAnsi="Times New Roman;Times;serif"/>
          <w:b w:val="false"/>
          <w:i w:val="false"/>
          <w:caps w:val="false"/>
          <w:smallCaps w:val="false"/>
          <w:color w:val="000000"/>
          <w:spacing w:val="3"/>
          <w:sz w:val="15"/>
          <w:bdr w:val="single" w:sz="8" w:space="1" w:color="000000"/>
        </w:rPr>
        <w:t>50</w:t>
      </w:r>
      <w:r>
        <w:rPr>
          <w:rFonts w:ascii="Times New Roman;Times;serif" w:hAnsi="Times New Roman;Times;serif"/>
          <w:b w:val="false"/>
          <w:i w:val="false"/>
          <w:caps w:val="false"/>
          <w:smallCaps w:val="false"/>
          <w:color w:val="000000"/>
          <w:spacing w:val="4"/>
          <w:sz w:val="20"/>
          <w:bdr w:val="single" w:sz="8" w:space="1" w:color="000000"/>
        </w:rPr>
        <w:t xml:space="preserve"> and, in an exploratory pharmacodynamic analysis, reductions of up to 60% in STAT3-driven immune cell populations across Th17, T follicular helper (“Tfh”) and B cell subsets. See “— Recent Developments.”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October 2025, we reported preliminary data from our Phase 2 clinical trial of TTI-101 in idiopathic pulmonary fibrosis (“IPF”) and concluded that the study did not meet its goals. Subsequently, we conducted additional analyses of a subset of patients who received study drug for 12 weeks. Based on these analyses, which excluded certain patients due to dosing, pharmacokinetic, or clinical factors, treatment with TTI-101 demonstrated greater reductions in certain exploratory measures, including fibrosis and inflammatory markers, compared to placebo — directly recapitulating findings from multiple preclinical models of fibrotic disease and providing human clinical proof of concept for the STAT3 inhibition mechanism. We continue to evaluate these results to inform potential future development decisions.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approach is rooted in our expertise around STAT3’s functional composition and its critical role in disease pathogenesis, as well as other essential biological functions. Our co-founder, David J. Tweardy, M.D., was one of the first to identify that STAT3, when activated by phosphorylation on tyrosine (Y) residue 705 (pY-STAT3), acts as a central node across multiple inflammatory, proliferative and immune pathways.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Intrinsically (within proliferative cells), pY-STAT3 enhances cell proliferation and survival, while extrinsically (within the immune system), pY-STAT3 contributes to immune dysregulation. Collectively, persistent pY-STAT3 drives the development and progression of inflammatory and proliferative diseases characterized by dysregulated STAT3 signaling. By targeting pY-STAT3, our approach is designed to simultaneously modulate key pathways of the inflammatory and proliferative cascade, whereas previous approaches only targeted single pathways. Beyond its role in inflammation and proliferation, STAT3 also has an essential role in cellular respiration in the mitochondria. Dr. Tweardy made the critical discovery that blocking pY-STAT3 could inhibit STAT3’s role as a transcription factor without affecting its role in the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mitochondria. We have leveraged this discovery to design our product candidates to inhibit STAT3 activation which, we believe, will lead to disease modifying activity without impairing essential biological functions.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believe our oral small molecule STAT3 inhibitors have the potential for broad applicability across a diverse range of inflammatory and proliferative diseases driven by immune dysregulation, aberrant cytokine signaling, pathologic cellular proliferation, and maladaptive tissue remodeling. Across multiple preclinical models involving hematopoietic, gastrointestinal, dermatologic, respiratory organ specific tissue pathology, inhibition of STAT3 signaling has been associated with reductions in inflammatory burden, proliferation and improvement in disease relevant histological, molecular and clinical parameters. Importantly, clinical data from the REVERT IPF trial, including observed reductions in IL-6 and improvements in fibrosis score, is consistent with preclinical observations, which we believe supports the translational validity of our platform.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Our Pipeline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current pipeline is depicted below: </w:t>
      </w:r>
    </w:p>
    <w:p>
      <w:pPr>
        <w:pStyle w:val="TextBody"/>
        <w:bidi w:val="0"/>
        <w:spacing w:before="190" w:after="283"/>
        <w:jc w:val="center"/>
        <w:rPr>
          <w:caps w:val="false"/>
          <w:smallCaps w:val="false"/>
          <w:color w:val="000000"/>
          <w:bdr w:val="single" w:sz="8" w:space="1" w:color="000000"/>
        </w:rPr>
      </w:pPr>
      <w:r>
        <w:rPr>
          <w:caps w:val="false"/>
          <w:smallCaps w:val="false"/>
          <w:color w:val="000000"/>
          <w:bdr w:val="single" w:sz="8" w:space="1" w:color="000000"/>
        </w:rPr>
        <w:drawing>
          <wp:inline distT="0" distB="0" distL="0" distR="0">
            <wp:extent cx="5286375" cy="18669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286375" cy="1866900"/>
                    </a:xfrm>
                    <a:prstGeom prst="rect">
                      <a:avLst/>
                    </a:prstGeom>
                  </pic:spPr>
                </pic:pic>
              </a:graphicData>
            </a:graphic>
          </wp:inline>
        </w:drawing>
      </w:r>
      <w:r>
        <w:rPr>
          <w:caps w:val="false"/>
          <w:smallCaps w:val="false"/>
          <w:color w:val="000000"/>
          <w:bdr w:val="single" w:sz="8" w:space="1" w:color="000000"/>
        </w:rPr>
        <w:t xml:space="preserve"> </w:t>
      </w:r>
    </w:p>
    <w:p>
      <w:pPr>
        <w:pStyle w:val="TextBody"/>
        <w:bidi w:val="0"/>
        <w:spacing w:lineRule="atLeast" w:line="230" w:before="24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FDA has granted orphan drug designation for TTI-101 in both IPF and HCC as well as Fast-Track Designation for TTI-101 in HCC.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Recent Developments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Results from TTI-109 Phase 1 Clinical Trial</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In July 2026, we announced Phase 1 results for TTI-109, our next-generation STAT3 inhibitor. TTI-109 is a phosphate prodrug of TTI-101 designed to improve delivery and tolerability while preserving the parent compound’s mechanism of action. The study confirmed rapid prodrug conversion, dose-proportional pharmacokinetics with exposures above the STAT3 IC</w:t>
      </w:r>
      <w:r>
        <w:rPr>
          <w:rFonts w:ascii="Times New Roman;Times;serif" w:hAnsi="Times New Roman;Times;serif"/>
          <w:b w:val="false"/>
          <w:i w:val="false"/>
          <w:caps w:val="false"/>
          <w:smallCaps w:val="false"/>
          <w:color w:val="000000"/>
          <w:spacing w:val="3"/>
          <w:sz w:val="15"/>
          <w:bdr w:val="single" w:sz="8" w:space="1" w:color="000000"/>
        </w:rPr>
        <w:t>50</w:t>
      </w:r>
      <w:r>
        <w:rPr>
          <w:rFonts w:ascii="Times New Roman;Times;serif" w:hAnsi="Times New Roman;Times;serif"/>
          <w:b w:val="false"/>
          <w:i w:val="false"/>
          <w:caps w:val="false"/>
          <w:smallCaps w:val="false"/>
          <w:color w:val="000000"/>
          <w:spacing w:val="4"/>
          <w:sz w:val="20"/>
          <w:bdr w:val="single" w:sz="8" w:space="1" w:color="000000"/>
        </w:rPr>
        <w:t xml:space="preserve"> and, in an exploratory pharmacodynamic analysis, reductions of up to 60% in STAT3-driven immune cell populations across Th17, Tfh and B cell subsets.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Key findings included: </w:t>
      </w:r>
    </w:p>
    <w:p>
      <w:pPr>
        <w:pStyle w:val="TextBody"/>
        <w:bidi w:val="0"/>
        <w:spacing w:lineRule="atLeast" w:line="240" w:before="112"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Confirmed prodrug conversion and exposure equivalence: Validating its prodrug design, TTI-109 rapidly converted to TTI-101 within two hours and produced nearly identical plasma levels at molar-equivalent doses. </w:t>
      </w:r>
      <w:r>
        <mc:AlternateContent>
          <mc:Choice Requires="wps">
            <w:drawing>
              <wp:anchor behindDoc="0" distT="71120" distB="0" distL="254000" distR="0" simplePos="0" locked="0" layoutInCell="1" allowOverlap="1" relativeHeight="7">
                <wp:simplePos x="0" y="0"/>
                <wp:positionH relativeFrom="column">
                  <wp:align>left</wp:align>
                </wp:positionH>
                <wp:positionV relativeFrom="line">
                  <wp:align>top</wp:align>
                </wp:positionV>
                <wp:extent cx="127000" cy="350520"/>
                <wp:effectExtent l="0" t="0" r="0" b="0"/>
                <wp:wrapSquare wrapText="right"/>
                <wp:docPr id="3" name="Frame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2"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Sustained target-level exposure: 21-day repeat dosing showed stable, dose-proportional pharmacokinetics, with TTI-101 concentrations above the STAT3 IC</w:t>
      </w:r>
      <w:r>
        <w:rPr>
          <w:rFonts w:ascii="Times New Roman;Times;serif" w:hAnsi="Times New Roman;Times;serif"/>
          <w:b w:val="false"/>
          <w:i w:val="false"/>
          <w:caps w:val="false"/>
          <w:smallCaps w:val="false"/>
          <w:color w:val="000000"/>
          <w:spacing w:val="3"/>
          <w:sz w:val="15"/>
          <w:bdr w:val="single" w:sz="8" w:space="1" w:color="000000"/>
        </w:rPr>
        <w:t>50.</w:t>
      </w:r>
      <w:r>
        <w:rPr>
          <w:rFonts w:ascii="Times New Roman;Times;serif" w:hAnsi="Times New Roman;Times;serif"/>
          <w:b w:val="false"/>
          <w:i w:val="false"/>
          <w:caps w:val="false"/>
          <w:smallCaps w:val="false"/>
          <w:color w:val="000000"/>
          <w:spacing w:val="4"/>
          <w:sz w:val="20"/>
          <w:bdr w:val="single" w:sz="8" w:space="1" w:color="000000"/>
        </w:rPr>
        <w:t xml:space="preserve"> </w:t>
      </w:r>
      <w:r>
        <mc:AlternateContent>
          <mc:Choice Requires="wps">
            <w:drawing>
              <wp:anchor behindDoc="0" distT="71120" distB="0" distL="254000" distR="0" simplePos="0" locked="0" layoutInCell="1" allowOverlap="1" relativeHeight="8">
                <wp:simplePos x="0" y="0"/>
                <wp:positionH relativeFrom="column">
                  <wp:align>left</wp:align>
                </wp:positionH>
                <wp:positionV relativeFrom="line">
                  <wp:align>top</wp:align>
                </wp:positionV>
                <wp:extent cx="127000" cy="350520"/>
                <wp:effectExtent l="0" t="0" r="0" b="0"/>
                <wp:wrapSquare wrapText="right"/>
                <wp:docPr id="4" name="Frame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2"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Evidence of target engagement: Pharmacodynamic data showed reductions of up to 60% across disease-relevant STAT3-driven immune cell populations including Th17 cells, Tfh and B cell subsets. </w:t>
      </w:r>
      <w:r>
        <mc:AlternateContent>
          <mc:Choice Requires="wps">
            <w:drawing>
              <wp:anchor behindDoc="0" distT="71120" distB="0" distL="254000" distR="0" simplePos="0" locked="0" layoutInCell="1" allowOverlap="1" relativeHeight="9">
                <wp:simplePos x="0" y="0"/>
                <wp:positionH relativeFrom="column">
                  <wp:align>left</wp:align>
                </wp:positionH>
                <wp:positionV relativeFrom="line">
                  <wp:align>top</wp:align>
                </wp:positionV>
                <wp:extent cx="127000" cy="350520"/>
                <wp:effectExtent l="0" t="0" r="0" b="0"/>
                <wp:wrapSquare wrapText="right"/>
                <wp:docPr id="5" name="Frame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2"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Improved tolerability vs. TTI-101: Compared with placebo, diarrhea events with TTI-109 were similar in duration, transient and resolved without treatment interruption. Compared with TTI-101 at near-equivalent doses, diarrhea events with TTI-109 were substantially shorter in duration (0.46 vs. 3.35 days). </w:t>
      </w:r>
      <w:r>
        <mc:AlternateContent>
          <mc:Choice Requires="wps">
            <w:drawing>
              <wp:anchor behindDoc="0" distT="71120" distB="0" distL="254000" distR="0" simplePos="0" locked="0" layoutInCell="1" allowOverlap="1" relativeHeight="10">
                <wp:simplePos x="0" y="0"/>
                <wp:positionH relativeFrom="column">
                  <wp:align>left</wp:align>
                </wp:positionH>
                <wp:positionV relativeFrom="line">
                  <wp:align>top</wp:align>
                </wp:positionV>
                <wp:extent cx="127000" cy="350520"/>
                <wp:effectExtent l="0" t="0" r="0" b="0"/>
                <wp:wrapSquare wrapText="right"/>
                <wp:docPr id="6" name="Frame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have identified dermatologic and gastrointestinal therapeutic areas with shared STAT3-driven disease biology, specifically the convergence of cytokines, growth factors and Th17 and B cell immune pathways at the STAT3 node. TTI-109 is designed to address both the cellular and humoral components of inflammation and proliferation with a single oral agent. Recent programs in related STAT3-driven indications have validated the underlying biology, but each acts on a single upstream target, while TTI-109 targets STAT3, the downstream node where these pathways converge.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STAT3 sits at the center of the core disease processes in dermatologic and gastrointestinal diseases, including inflammation, proliferation and cellular and humoral dysregulation. Our STAT3 inhibitors have demonstrated biologic activity in these pathways in both preclinical models and in the clinic. In preclinical disease models, our STAT3 inhibitors reduced inflammatory cascades, fibrosis and modulated immune activity. Similarly, in humans, TTI-101 reduced activated STAT3 levels, inflammatory cascades and fibrosis. The TTI-109 healthy volunteer study extended this translational profile, with reductions in STAT3-driven immune cell populations.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ability to initiate these programs is subject to clearance of an Investigational New Drug application and the availability of additional funding.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Corporate Information</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were originally incorporated in Delaware in July 2004 as Cara Therapeutics, Inc. (“Cara”). On April 15, 2025 (the “Closing Date”), Cara, now known as Tvardi Therapeutics, Inc., completed its previously announced merger with the Delaware corporation formerly known as Tvardi Therapeutics, Inc. (“Legacy Tvardi”) in accordance with the terms of the Agreement and Plan of Merger and Reorganization, dated as of December 17, 2024 (the “Merger Agreement”), by and among Cara, CT Convergence Merger Sub, Inc., a wholly owned subsidiary of Cara (“Merger Sub”), and Legacy Tvardi, pursuant to which Merger Sub merged with and into Legacy Tvardi, with Legacy Tvardi surviving the merger as a wholly owned subsidiary of Cara (the “Merger”). Also on April 15, 2025, Cara changed its name from “Cara Therapeutics, Inc.” to “Tvardi Therapeutics, Inc.”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Pursuant to the Merger Agreement, on the Closing Date, (i) Cara effected a 1-for-3 reverse stock split of its common stock (the “Reverse Stock Split”), (ii) Cara increased its authorized shares of common stock to 150,000,000, (iii) Merger Sub was merged with and into Legacy Tvardi and Legacy Tvardi became a wholly owned subsidiary of the Company, and (iv) the Company changed its name to “Tvardi Therapeutics, Inc.” As of the open of trading on April 16, 2025, the common stock of the Company began trading on Nasdaq under the symbol “TVRD.”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principal executive offices are located at 3 Sugar Creek Ctr. Blvd., Suite 525, Sugar Land, Texas 77478, and our telephone number is (713) 489-8654. Our website address is www.tvarditherapeutics.com. Information contained on or accessible through our website is not a part of this prospectus, the accompanying base prospectus or any related free writing prospectus, and the inclusion of our website address in this prospectus is an inactive textual reference only.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This prospectus contains references to our trademarks and to trademarks belonging to other entities. Solely for convenience, trademarks and trade names referred to in this prospectus, including logos, artwork and other visual displays, may appear without the </w:t>
      </w:r>
      <w:r>
        <w:rPr>
          <w:rFonts w:ascii="Times New Roman;Times;serif" w:hAnsi="Times New Roman;Times;serif"/>
          <w:b w:val="false"/>
          <w:i w:val="false"/>
          <w:caps w:val="false"/>
          <w:smallCaps w:val="false"/>
          <w:color w:val="000000"/>
          <w:spacing w:val="3"/>
          <w:sz w:val="15"/>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xml:space="preserve"> or </w:t>
      </w:r>
      <w:r>
        <w:rPr>
          <w:rFonts w:ascii="Times New Roman;Times;serif" w:hAnsi="Times New Roman;Times;serif"/>
          <w:b w:val="false"/>
          <w:i w:val="false"/>
          <w:caps w:val="false"/>
          <w:smallCaps w:val="false"/>
          <w:color w:val="000000"/>
          <w:spacing w:val="3"/>
          <w:sz w:val="15"/>
          <w:bdr w:val="single" w:sz="8" w:space="1" w:color="000000"/>
        </w:rPr>
        <w:t>TM</w:t>
      </w:r>
      <w:r>
        <w:rPr>
          <w:rFonts w:ascii="Times New Roman;Times;serif" w:hAnsi="Times New Roman;Times;serif"/>
          <w:b w:val="false"/>
          <w:i w:val="false"/>
          <w:caps w:val="false"/>
          <w:smallCaps w:val="false"/>
          <w:color w:val="000000"/>
          <w:spacing w:val="4"/>
          <w:sz w:val="20"/>
          <w:bdr w:val="single" w:sz="8" w:space="1" w:color="000000"/>
        </w:rPr>
        <w:t xml:space="preserve"> symbols, but such references are not intended to indicate, in any way, that their respective owners will not assert, to the fullest extent under applicable law, their rights thereto. We do not intend our use or display of other companies’ trade names or trademarks to imply a relationship with, or endorsement or sponsorship of us by, any other companies.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Implications of Being a Smaller Reporting Company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are a “smaller reporting company” as defined in the Securities Exchange Act of 1934, as amended (the “Exchange Act”). Smaller reporting companies may take advantage of certain reduced disclosure obligations. Specifically, as a smaller reporting company we may choose to present only the two most recent fiscal years of audited financial statements in our Annual Report on Form 10-K and smaller reporting companies have reduced disclosure obligations regarding executive compensation and other matters. We may continue to be a smaller reporting company in any given year if either (i) the market value of our stock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held by non-affiliates is less than $250 million as measured on the last business day of our most recently completed second fiscal quarter, or (ii) our annual revenue is less than $100 million during the most recently completed fiscal year and the market value of our stock held by non-affiliates is less than $700 million as measured on the last business day of our most recently completed second fiscal quarter.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As a result, the information that we provide to our stockholders may be different than what you might receive from other public reporting companies in which you hold equity interests.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The Offering</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Common stock offered by us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Shares of our common stock having an aggregate offering price up to $9,689,765.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Common stock to be outstanding after this offering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Up to 15,638,140 shares (as more fully described in the notes following this table), assuming sales of 3,146,027 shares of our common stock in this offering at an offering price of $3.08 per share, which was the last reported sale price of our common stock on Nasdaq on July 16, 2026. The actual number of shares of common stock issued will vary depending on the sales price under this offering.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Manner of offering </w:t>
      </w:r>
    </w:p>
    <w:p>
      <w:pPr>
        <w:pStyle w:val="TextBody"/>
        <w:bidi w:val="0"/>
        <w:spacing w:lineRule="atLeast" w:line="240" w:before="0" w:after="283"/>
        <w:ind w:left="4753" w:right="0" w:hanging="0"/>
        <w:jc w:val="left"/>
        <w:rPr>
          <w:caps w:val="false"/>
          <w:smallCaps w:val="false"/>
          <w:color w:val="000000"/>
          <w:spacing w:val="4"/>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xml:space="preserve">At the market offering” that may be made from time to time through our sales agent, Jones. See “Plan of Distribution” on page S-13 of this prospectus.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Use of Proceeds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intend to use the net proceeds from this offering, if any, for general corporate purposes, including clinical trial expenses, research and development expenses, general and administrative expenses, and capital expenditures. See “Use of Proceeds” on page S-10 of this prospectus.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Risk Factors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Investing in our common stock involves a high degree of risk. See the information contained in or incorporated by reference under the heading “Risk Factors” beginning on page S-6 of this prospectus and in the documents incorporated by reference into this prospectus and any free writing prospectus that we authorize for use in connection with this offering.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Nasdaq symbol </w:t>
      </w:r>
    </w:p>
    <w:p>
      <w:pPr>
        <w:pStyle w:val="TextBody"/>
        <w:bidi w:val="0"/>
        <w:spacing w:lineRule="atLeast" w:line="240" w:before="0" w:after="283"/>
        <w:ind w:left="4753" w:right="0" w:hanging="0"/>
        <w:jc w:val="left"/>
        <w:rPr>
          <w:caps w:val="false"/>
          <w:smallCaps w:val="false"/>
          <w:color w:val="000000"/>
          <w:spacing w:val="4"/>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xml:space="preserve">TVRD”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number of shares of our common stock to be outstanding after this offering is based on 12,492,113 shares of our common stock outstanding pro forma as of March 31, 2026, consisting of 9,381,344 shares of our common stock outstanding as of March 31, 2026 (actual) and after giving effect to the Prior Sales, pursuant to which we issued and sold 3,110,769 shares of our common stock in July 2026 pursuant to the Sales Agreement, and excludes, as of that date: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784,583 shares of our common stock issuable upon the exercise of outstanding options under our 2025 Equity Incentive Plan, with a weighted average exercise price of $10.43 per share; </w:t>
      </w:r>
      <w:r>
        <mc:AlternateContent>
          <mc:Choice Requires="wps">
            <w:drawing>
              <wp:anchor behindDoc="0" distT="76200" distB="0" distL="254000" distR="0" simplePos="0" locked="0" layoutInCell="1" allowOverlap="1" relativeHeight="11">
                <wp:simplePos x="0" y="0"/>
                <wp:positionH relativeFrom="column">
                  <wp:align>left</wp:align>
                </wp:positionH>
                <wp:positionV relativeFrom="line">
                  <wp:align>top</wp:align>
                </wp:positionV>
                <wp:extent cx="127000" cy="350520"/>
                <wp:effectExtent l="0" t="0" r="0" b="0"/>
                <wp:wrapSquare wrapText="right"/>
                <wp:docPr id="7" name="Frame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713,922 shares of our common stock issuable upon the exercise of outstanding options under the Legacy Tvardi 2018 Stock Incentive Plan, which were assumed by the Company in connection with the Merger, with a weighted average exercise price of $3.21 per share; </w:t>
      </w:r>
      <w:r>
        <mc:AlternateContent>
          <mc:Choice Requires="wps">
            <w:drawing>
              <wp:anchor behindDoc="0" distT="76200" distB="0" distL="254000" distR="0" simplePos="0" locked="0" layoutInCell="1" allowOverlap="1" relativeHeight="12">
                <wp:simplePos x="0" y="0"/>
                <wp:positionH relativeFrom="column">
                  <wp:align>left</wp:align>
                </wp:positionH>
                <wp:positionV relativeFrom="line">
                  <wp:align>top</wp:align>
                </wp:positionV>
                <wp:extent cx="127000" cy="350520"/>
                <wp:effectExtent l="0" t="0" r="0" b="0"/>
                <wp:wrapSquare wrapText="right"/>
                <wp:docPr id="8" name="Frame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8,491 shares of our common stock issuable upon the exercise of outstanding options under the Cara 2014 Equity Incentive Plan, with a weighted average exercise price of $141.14 per share; </w:t>
      </w:r>
      <w:r>
        <mc:AlternateContent>
          <mc:Choice Requires="wps">
            <w:drawing>
              <wp:anchor behindDoc="0" distT="76200" distB="0" distL="254000" distR="0" simplePos="0" locked="0" layoutInCell="1" allowOverlap="1" relativeHeight="13">
                <wp:simplePos x="0" y="0"/>
                <wp:positionH relativeFrom="column">
                  <wp:align>left</wp:align>
                </wp:positionH>
                <wp:positionV relativeFrom="line">
                  <wp:align>top</wp:align>
                </wp:positionV>
                <wp:extent cx="127000" cy="350520"/>
                <wp:effectExtent l="0" t="0" r="0" b="0"/>
                <wp:wrapSquare wrapText="right"/>
                <wp:docPr id="9" name="Frame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680,650 shares of our common stock reserved for future issuance under the 2025 Equity Incentive Plan, as well as any increases, at the discretion of our board of directors, in the number of shares of common stock reserved for future issuance under this plan; and </w:t>
      </w:r>
      <w:r>
        <mc:AlternateContent>
          <mc:Choice Requires="wps">
            <w:drawing>
              <wp:anchor behindDoc="0" distT="76200" distB="0" distL="254000" distR="0" simplePos="0" locked="0" layoutInCell="1" allowOverlap="1" relativeHeight="14">
                <wp:simplePos x="0" y="0"/>
                <wp:positionH relativeFrom="column">
                  <wp:align>left</wp:align>
                </wp:positionH>
                <wp:positionV relativeFrom="line">
                  <wp:align>top</wp:align>
                </wp:positionV>
                <wp:extent cx="127000" cy="350520"/>
                <wp:effectExtent l="0" t="0" r="0" b="0"/>
                <wp:wrapSquare wrapText="right"/>
                <wp:docPr id="10" name="Frame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199,490 shares of our common stock reserved for future issuance under our 2025 Employee Stock Purchase Plan, as well as any automatic increases in the number of shares of common stock reserved for future issuance under this plan.</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76200" distB="0" distL="254000" distR="0" simplePos="0" locked="0" layoutInCell="1" allowOverlap="1" relativeHeight="15">
                <wp:simplePos x="0" y="0"/>
                <wp:positionH relativeFrom="column">
                  <wp:align>left</wp:align>
                </wp:positionH>
                <wp:positionV relativeFrom="line">
                  <wp:align>top</wp:align>
                </wp:positionV>
                <wp:extent cx="127000" cy="350520"/>
                <wp:effectExtent l="0" t="0" r="0" b="0"/>
                <wp:wrapSquare wrapText="right"/>
                <wp:docPr id="11" name="Frame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tRIFA"/>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caps w:val="false"/>
          <w:smallCaps w:val="false"/>
          <w:color w:val="000000"/>
          <w:spacing w:val="4"/>
          <w:sz w:val="20"/>
        </w:rPr>
        <w:t xml:space="preserve">Investing in our common stock involves a high degree of risk. You should carefully consider the risks described below and discussed under the section captioned “Risk Factors” contained in our </w:t>
      </w:r>
      <w:hyperlink r:id="rId4">
        <w:r>
          <w:rPr>
            <w:rStyle w:val="InternetLink"/>
          </w:rPr>
          <w:t>Annual Report on Form 10-K for the year ended December 31, 2025</w:t>
        </w:r>
      </w:hyperlink>
      <w:r>
        <w:rPr>
          <w:rFonts w:ascii="Times New Roman;Times;serif" w:hAnsi="Times New Roman;Times;serif"/>
          <w:b w:val="false"/>
          <w:i/>
          <w:caps w:val="false"/>
          <w:smallCaps w:val="false"/>
          <w:color w:val="000000"/>
          <w:spacing w:val="4"/>
          <w:sz w:val="20"/>
        </w:rPr>
        <w:t xml:space="preserve">, as updated by our annual, quarterly and other reports and documents that are incorporated by reference into this prospectus, and all other information contained in this prospectus and incorporated by reference in this prospectus, and in any free writing prospectus that we have authorized for use in connection with this offering, before purchasing shares of our common stock. These risks and uncertainties are not the only ones facing us. Additional risks and uncertainties that we are unaware of, or that we currently deem immaterial, also may become important factors that affect us. If any of such risks or the risks described below or in our SEC filings occur, our business, financial condition or results of operations could be materially and adversely affected. In that case, the trading price of our common stock could decline, and you may lose some or all of your investment.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to This Offering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management will have broad discretion as to the use of the net proceeds from this offering, and we may not use the proceeds effectively.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Because we have not designated the amount of net proceeds from this offering to be used for any particular purpose, our management will have broad discretion as to the application of the net proceeds from this offering and could use them for purposes other than those contemplated at the time of this offering. Our management may use the net proceeds for purposes that may not improve our financial condition or market value.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You may experience immediate and substantial dilution in the net tangible book value per share of the common stock you purchase in this offering.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offering price per share in this offering may exceed the net tangible book value (deficit) per share of our common stock outstanding prior to this offering. Assuming that an aggregate of 3,146,027 shares of our common stock are sold at an assumed offering price of $3.08 per share pursuant to this prospectus, which was the last reported sale price of our common stock on Nasdaq on July 16, 2026, for aggregate net proceeds of approximately $9.4 million, after deducting commissions and estimated aggregate offering expenses payable by us, you would experience immediate dilution of $0.91 per share, representing the difference between our pro forma as adjusted net tangible book value per share as of March 31, 2026 after giving effect to the Prior Sales and this offering at the assumed offering price. See “Dilution” in this prospectus for a more detailed illustration of the dilution you would incur if you participate in this offering.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actual number of shares we will issue and gross proceeds resulting from those sales in this offering, at any one time or in total, is uncertain.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certain limitations in the Sales Agreement and compliance with applicable law, we have the discretion to deliver a placement notice to Jones at any time throughout the term of the offering under this prospectus. The number of shares that are sold by Jones after delivering a placement notice will fluctuate based on the market price of the shares of common stock during the sales period and limits we set with Jones in any instruction to sell shares, and the demand for our common stock during the sales period. Because the price per share of each share sold will fluctuate based on the market price of our common stock during the sales period, it is not possible at this stage to predict the number of shares or the gross proceeds to be raised in connection with those sales, if any, that will be ultimately issued.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common stock offered hereby will be sold in “at the market offerings,” and investors who buy shares at different times will likely pay different prices.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Investors who purchase shares in this offering at different times will likely pay different prices, and so they may experience different levels of dilution and different outcomes in their investment results. We will have discretion, subject to market demand, to vary the timing, prices, and numbers of shares sold in this offering. In addition, there is no minimum or maximum sales price for shares to be sold in this offering.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28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Investors may experience a decline in the value of the shares they purchase in this offering as a result of sales made at prices lower than the prices they paid.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You may experience future dilution as a result of future equity offerings.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order to raise additional capital, we may in the future offer additional shares of our common stock or other securities convertible into or exchangeable for our common stock at prices that may not be the same as the price per share in this offering. We may sell shares or other securities in any other offering at a price per share that is less than the price per share paid by any investors in this offering, and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any investors in this offering. Additionally, the exercise of outstanding stock options may result in further dilution of your investment.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tSNRF"/>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SPECIAL NOTE REGARDING 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Statements contained in this prospectus, the accompanying base prospectus, and in the documents incorporated by reference herein and therein that are not strictly historical in nature are forward-looking statements within the meaning of Section 27A of the Securities Act of 1933, as amended (the “Securities Act”), and within the meaning of Section 21E of the Exchange Act. These forward-looking statements are subject to the “safe harbor” created by Section 27A of the Securities Act and Section 21E of the Exchange Act and may include, but are not limited to, statements about our strategy, future financial condition, future operations, research and development, ongoing and planned clinical trials and preclinical studies, the timing and likelihood of regulatory filings and approvals for our product candidates, our ability to commercialize our product candidates, the potential benefits of collaborations, projected costs, prospects, plans, objectives of management and expected market growth. In some cases, you can identify forward-looking statements by terms such as “aim,” “anticipate,” “believe,” “continue,” “could,” “estimate,” “expect,” “intend,” “may,” “might,” “objective,” “ongoing,” “plan,” “predict,” “project,” “potential,” “seek,” “should,” “will,” or “would,” the negative of these words and words or similar expressions intended to identify forward-looking statements. These forward-looking statements include, but are not limited to, statements concerning the following: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continue as a going concern; </w:t>
      </w:r>
      <w:r>
        <mc:AlternateContent>
          <mc:Choice Requires="wps">
            <w:drawing>
              <wp:anchor behindDoc="0" distT="73660" distB="0" distL="254000" distR="0" simplePos="0" locked="0" layoutInCell="1" allowOverlap="1" relativeHeight="16">
                <wp:simplePos x="0" y="0"/>
                <wp:positionH relativeFrom="column">
                  <wp:align>left</wp:align>
                </wp:positionH>
                <wp:positionV relativeFrom="line">
                  <wp:align>top</wp:align>
                </wp:positionV>
                <wp:extent cx="127000" cy="350520"/>
                <wp:effectExtent l="0" t="0" r="0" b="0"/>
                <wp:wrapSquare wrapText="right"/>
                <wp:docPr id="12" name="Frame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expectations surrounding the potential safety, efficacy, and regulatory and clinical progress of our product candidates, including TTI-101 and TTI-109, and anticipated milestones and timing therefor; </w:t>
      </w:r>
      <w:r>
        <mc:AlternateContent>
          <mc:Choice Requires="wps">
            <w:drawing>
              <wp:anchor behindDoc="0" distT="66040" distB="0" distL="254000" distR="0" simplePos="0" locked="0" layoutInCell="1" allowOverlap="1" relativeHeight="17">
                <wp:simplePos x="0" y="0"/>
                <wp:positionH relativeFrom="column">
                  <wp:align>left</wp:align>
                </wp:positionH>
                <wp:positionV relativeFrom="line">
                  <wp:align>top</wp:align>
                </wp:positionV>
                <wp:extent cx="127000" cy="350520"/>
                <wp:effectExtent l="0" t="0" r="0" b="0"/>
                <wp:wrapSquare wrapText="right"/>
                <wp:docPr id="13" name="Frame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plans to develop and commercialize our product candidates or any potential future product candidates; </w:t>
      </w:r>
      <w:r>
        <mc:AlternateContent>
          <mc:Choice Requires="wps">
            <w:drawing>
              <wp:anchor behindDoc="0" distT="66040" distB="0" distL="254000" distR="0" simplePos="0" locked="0" layoutInCell="1" allowOverlap="1" relativeHeight="18">
                <wp:simplePos x="0" y="0"/>
                <wp:positionH relativeFrom="column">
                  <wp:align>left</wp:align>
                </wp:positionH>
                <wp:positionV relativeFrom="line">
                  <wp:align>top</wp:align>
                </wp:positionV>
                <wp:extent cx="127000" cy="350520"/>
                <wp:effectExtent l="0" t="0" r="0" b="0"/>
                <wp:wrapSquare wrapText="right"/>
                <wp:docPr id="14" name="Frame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potential results of preclinical studies and clinical trials and future regulatory and development milestones for our product candidates or any potential future product candidates; </w:t>
      </w:r>
      <w:r>
        <mc:AlternateContent>
          <mc:Choice Requires="wps">
            <w:drawing>
              <wp:anchor behindDoc="0" distT="66040" distB="0" distL="254000" distR="0" simplePos="0" locked="0" layoutInCell="1" allowOverlap="1" relativeHeight="19">
                <wp:simplePos x="0" y="0"/>
                <wp:positionH relativeFrom="column">
                  <wp:align>left</wp:align>
                </wp:positionH>
                <wp:positionV relativeFrom="line">
                  <wp:align>top</wp:align>
                </wp:positionV>
                <wp:extent cx="127000" cy="350520"/>
                <wp:effectExtent l="0" t="0" r="0" b="0"/>
                <wp:wrapSquare wrapText="right"/>
                <wp:docPr id="15" name="Frame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performance of third-party manufacturers, clinical research organizations (CROs), and other vendors; </w:t>
      </w:r>
      <w:r>
        <mc:AlternateContent>
          <mc:Choice Requires="wps">
            <w:drawing>
              <wp:anchor behindDoc="0" distT="66040" distB="0" distL="254000" distR="0" simplePos="0" locked="0" layoutInCell="1" allowOverlap="1" relativeHeight="20">
                <wp:simplePos x="0" y="0"/>
                <wp:positionH relativeFrom="column">
                  <wp:align>left</wp:align>
                </wp:positionH>
                <wp:positionV relativeFrom="line">
                  <wp:align>top</wp:align>
                </wp:positionV>
                <wp:extent cx="127000" cy="350520"/>
                <wp:effectExtent l="0" t="0" r="0" b="0"/>
                <wp:wrapSquare wrapText="right"/>
                <wp:docPr id="16"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realize the anticipated benefits of the Merger; </w:t>
      </w:r>
      <w:r>
        <mc:AlternateContent>
          <mc:Choice Requires="wps">
            <w:drawing>
              <wp:anchor behindDoc="0" distT="66040" distB="0" distL="254000" distR="0" simplePos="0" locked="0" layoutInCell="1" allowOverlap="1" relativeHeight="21">
                <wp:simplePos x="0" y="0"/>
                <wp:positionH relativeFrom="column">
                  <wp:align>left</wp:align>
                </wp:positionH>
                <wp:positionV relativeFrom="line">
                  <wp:align>top</wp:align>
                </wp:positionV>
                <wp:extent cx="127000" cy="350520"/>
                <wp:effectExtent l="0" t="0" r="0" b="0"/>
                <wp:wrapSquare wrapText="right"/>
                <wp:docPr id="17" name="Frame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maintain compliance with Nasdaq listing requirements; </w:t>
      </w:r>
      <w:r>
        <mc:AlternateContent>
          <mc:Choice Requires="wps">
            <w:drawing>
              <wp:anchor behindDoc="0" distT="64770" distB="0" distL="254000" distR="0" simplePos="0" locked="0" layoutInCell="1" allowOverlap="1" relativeHeight="22">
                <wp:simplePos x="0" y="0"/>
                <wp:positionH relativeFrom="column">
                  <wp:align>left</wp:align>
                </wp:positionH>
                <wp:positionV relativeFrom="line">
                  <wp:align>top</wp:align>
                </wp:positionV>
                <wp:extent cx="127000" cy="350520"/>
                <wp:effectExtent l="0" t="0" r="0" b="0"/>
                <wp:wrapSquare wrapText="right"/>
                <wp:docPr id="18" name="Frame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size and growth of the potential markets for our product candidates; </w:t>
      </w:r>
      <w:r>
        <mc:AlternateContent>
          <mc:Choice Requires="wps">
            <w:drawing>
              <wp:anchor behindDoc="0" distT="64770" distB="0" distL="254000" distR="0" simplePos="0" locked="0" layoutInCell="1" allowOverlap="1" relativeHeight="23">
                <wp:simplePos x="0" y="0"/>
                <wp:positionH relativeFrom="column">
                  <wp:align>left</wp:align>
                </wp:positionH>
                <wp:positionV relativeFrom="line">
                  <wp:align>top</wp:align>
                </wp:positionV>
                <wp:extent cx="127000" cy="350520"/>
                <wp:effectExtent l="0" t="0" r="0" b="0"/>
                <wp:wrapSquare wrapText="right"/>
                <wp:docPr id="19" name="Frame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rate and degree of market acceptance of any other future approved indications or products; </w:t>
      </w:r>
      <w:r>
        <mc:AlternateContent>
          <mc:Choice Requires="wps">
            <w:drawing>
              <wp:anchor behindDoc="0" distT="64770" distB="0" distL="254000" distR="0" simplePos="0" locked="0" layoutInCell="1" allowOverlap="1" relativeHeight="24">
                <wp:simplePos x="0" y="0"/>
                <wp:positionH relativeFrom="column">
                  <wp:align>left</wp:align>
                </wp:positionH>
                <wp:positionV relativeFrom="line">
                  <wp:align>top</wp:align>
                </wp:positionV>
                <wp:extent cx="127000" cy="350520"/>
                <wp:effectExtent l="0" t="0" r="0" b="0"/>
                <wp:wrapSquare wrapText="right"/>
                <wp:docPr id="20" name="Frame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obtain and maintain additional regulatory approval of our product candidates or any future product candidates, and the labeling under any approval we may obtain; </w:t>
      </w:r>
      <w:r>
        <mc:AlternateContent>
          <mc:Choice Requires="wps">
            <w:drawing>
              <wp:anchor behindDoc="0" distT="64770" distB="0" distL="254000" distR="0" simplePos="0" locked="0" layoutInCell="1" allowOverlap="1" relativeHeight="25">
                <wp:simplePos x="0" y="0"/>
                <wp:positionH relativeFrom="column">
                  <wp:align>left</wp:align>
                </wp:positionH>
                <wp:positionV relativeFrom="line">
                  <wp:align>top</wp:align>
                </wp:positionV>
                <wp:extent cx="127000" cy="350520"/>
                <wp:effectExtent l="0" t="0" r="0" b="0"/>
                <wp:wrapSquare wrapText="right"/>
                <wp:docPr id="21" name="Frame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maintain existing and establish additional collaborations for our product candidates or future product candidates; </w:t>
      </w:r>
      <w:r>
        <mc:AlternateContent>
          <mc:Choice Requires="wps">
            <w:drawing>
              <wp:anchor behindDoc="0" distT="64770" distB="0" distL="254000" distR="0" simplePos="0" locked="0" layoutInCell="1" allowOverlap="1" relativeHeight="26">
                <wp:simplePos x="0" y="0"/>
                <wp:positionH relativeFrom="column">
                  <wp:align>left</wp:align>
                </wp:positionH>
                <wp:positionV relativeFrom="line">
                  <wp:align>top</wp:align>
                </wp:positionV>
                <wp:extent cx="127000" cy="350520"/>
                <wp:effectExtent l="0" t="0" r="0" b="0"/>
                <wp:wrapSquare wrapText="right"/>
                <wp:docPr id="22" name="Frame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continued service of our key scientific or management personnel; </w:t>
      </w:r>
      <w:r>
        <mc:AlternateContent>
          <mc:Choice Requires="wps">
            <w:drawing>
              <wp:anchor behindDoc="0" distT="64770" distB="0" distL="254000" distR="0" simplePos="0" locked="0" layoutInCell="1" allowOverlap="1" relativeHeight="27">
                <wp:simplePos x="0" y="0"/>
                <wp:positionH relativeFrom="column">
                  <wp:align>left</wp:align>
                </wp:positionH>
                <wp:positionV relativeFrom="line">
                  <wp:align>top</wp:align>
                </wp:positionV>
                <wp:extent cx="127000" cy="350520"/>
                <wp:effectExtent l="0" t="0" r="0" b="0"/>
                <wp:wrapSquare wrapText="right"/>
                <wp:docPr id="23"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establish commercialization and marketing capabilities for any future approved products; </w:t>
      </w:r>
      <w:r>
        <mc:AlternateContent>
          <mc:Choice Requires="wps">
            <w:drawing>
              <wp:anchor behindDoc="0" distT="64770" distB="0" distL="254000" distR="0" simplePos="0" locked="0" layoutInCell="1" allowOverlap="1" relativeHeight="28">
                <wp:simplePos x="0" y="0"/>
                <wp:positionH relativeFrom="column">
                  <wp:align>left</wp:align>
                </wp:positionH>
                <wp:positionV relativeFrom="line">
                  <wp:align>top</wp:align>
                </wp:positionV>
                <wp:extent cx="127000" cy="350520"/>
                <wp:effectExtent l="0" t="0" r="0" b="0"/>
                <wp:wrapSquare wrapText="right"/>
                <wp:docPr id="24"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regulatory developments in the United States and foreign countries; </w:t>
      </w:r>
      <w:r>
        <mc:AlternateContent>
          <mc:Choice Requires="wps">
            <w:drawing>
              <wp:anchor behindDoc="0" distT="64770" distB="0" distL="254000" distR="0" simplePos="0" locked="0" layoutInCell="1" allowOverlap="1" relativeHeight="29">
                <wp:simplePos x="0" y="0"/>
                <wp:positionH relativeFrom="column">
                  <wp:align>left</wp:align>
                </wp:positionH>
                <wp:positionV relativeFrom="line">
                  <wp:align>top</wp:align>
                </wp:positionV>
                <wp:extent cx="127000" cy="350520"/>
                <wp:effectExtent l="0" t="0" r="0" b="0"/>
                <wp:wrapSquare wrapText="right"/>
                <wp:docPr id="25"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obtain and maintain coverage and adequate reimbursement from third-party payers and governments for any other future approved indications or products; </w:t>
      </w:r>
      <w:r>
        <mc:AlternateContent>
          <mc:Choice Requires="wps">
            <w:drawing>
              <wp:anchor behindDoc="0" distT="64770" distB="0" distL="254000" distR="0" simplePos="0" locked="0" layoutInCell="1" allowOverlap="1" relativeHeight="30">
                <wp:simplePos x="0" y="0"/>
                <wp:positionH relativeFrom="column">
                  <wp:align>left</wp:align>
                </wp:positionH>
                <wp:positionV relativeFrom="line">
                  <wp:align>top</wp:align>
                </wp:positionV>
                <wp:extent cx="127000" cy="350520"/>
                <wp:effectExtent l="0" t="0" r="0" b="0"/>
                <wp:wrapSquare wrapText="right"/>
                <wp:docPr id="26"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planned use of our cash and cash equivalents and the clinical milestones we expect to fund with such proceeds; </w:t>
      </w:r>
      <w:r>
        <mc:AlternateContent>
          <mc:Choice Requires="wps">
            <w:drawing>
              <wp:anchor behindDoc="0" distT="64770" distB="0" distL="254000" distR="0" simplePos="0" locked="0" layoutInCell="1" allowOverlap="1" relativeHeight="31">
                <wp:simplePos x="0" y="0"/>
                <wp:positionH relativeFrom="column">
                  <wp:align>left</wp:align>
                </wp:positionH>
                <wp:positionV relativeFrom="line">
                  <wp:align>top</wp:align>
                </wp:positionV>
                <wp:extent cx="127000" cy="350520"/>
                <wp:effectExtent l="0" t="0" r="0" b="0"/>
                <wp:wrapSquare wrapText="right"/>
                <wp:docPr id="27"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accuracy of our estimates regarding expenses, future revenues and capital requirements; </w:t>
      </w:r>
      <w:r>
        <mc:AlternateContent>
          <mc:Choice Requires="wps">
            <w:drawing>
              <wp:anchor behindDoc="0" distT="64770" distB="0" distL="254000" distR="0" simplePos="0" locked="0" layoutInCell="1" allowOverlap="1" relativeHeight="32">
                <wp:simplePos x="0" y="0"/>
                <wp:positionH relativeFrom="column">
                  <wp:align>left</wp:align>
                </wp:positionH>
                <wp:positionV relativeFrom="line">
                  <wp:align>top</wp:align>
                </wp:positionV>
                <wp:extent cx="127000" cy="350520"/>
                <wp:effectExtent l="0" t="0" r="0" b="0"/>
                <wp:wrapSquare wrapText="right"/>
                <wp:docPr id="28"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obtain funding for our operations; </w:t>
      </w:r>
      <w:r>
        <mc:AlternateContent>
          <mc:Choice Requires="wps">
            <w:drawing>
              <wp:anchor behindDoc="0" distT="64770" distB="0" distL="254000" distR="0" simplePos="0" locked="0" layoutInCell="1" allowOverlap="1" relativeHeight="33">
                <wp:simplePos x="0" y="0"/>
                <wp:positionH relativeFrom="column">
                  <wp:align>left</wp:align>
                </wp:positionH>
                <wp:positionV relativeFrom="line">
                  <wp:align>top</wp:align>
                </wp:positionV>
                <wp:extent cx="127000" cy="350520"/>
                <wp:effectExtent l="0" t="0" r="0" b="0"/>
                <wp:wrapSquare wrapText="right"/>
                <wp:docPr id="29"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obtain and maintain intellectual property protection for our product candidates or future product candidates and our ability to operate our business without infringing on the intellectual property rights of others; </w:t>
      </w:r>
      <w:r>
        <mc:AlternateContent>
          <mc:Choice Requires="wps">
            <w:drawing>
              <wp:anchor behindDoc="0" distT="64770" distB="0" distL="254000" distR="0" simplePos="0" locked="0" layoutInCell="1" allowOverlap="1" relativeHeight="34">
                <wp:simplePos x="0" y="0"/>
                <wp:positionH relativeFrom="column">
                  <wp:align>left</wp:align>
                </wp:positionH>
                <wp:positionV relativeFrom="line">
                  <wp:align>top</wp:align>
                </wp:positionV>
                <wp:extent cx="127000" cy="350520"/>
                <wp:effectExtent l="0" t="0" r="0" b="0"/>
                <wp:wrapSquare wrapText="right"/>
                <wp:docPr id="30" name="Frame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68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maintain proper and effective internal controls over financial reporting and to remediate and prevent material weaknesses in our internal controls; </w:t>
      </w:r>
      <w:r>
        <mc:AlternateContent>
          <mc:Choice Requires="wps">
            <w:drawing>
              <wp:anchor behindDoc="0" distT="0" distB="0" distL="254000" distR="0" simplePos="0" locked="0" layoutInCell="1" allowOverlap="1" relativeHeight="35">
                <wp:simplePos x="0" y="0"/>
                <wp:positionH relativeFrom="column">
                  <wp:align>left</wp:align>
                </wp:positionH>
                <wp:positionV relativeFrom="line">
                  <wp:posOffset>635</wp:posOffset>
                </wp:positionV>
                <wp:extent cx="127000" cy="350520"/>
                <wp:effectExtent l="0" t="0" r="0" b="0"/>
                <wp:wrapSquare wrapText="right"/>
                <wp:docPr id="31" name="Frame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success of competing drugs that are or may become available; </w:t>
      </w:r>
      <w:r>
        <mc:AlternateContent>
          <mc:Choice Requires="wps">
            <w:drawing>
              <wp:anchor behindDoc="0" distT="76200" distB="0" distL="254000" distR="0" simplePos="0" locked="0" layoutInCell="1" allowOverlap="1" relativeHeight="36">
                <wp:simplePos x="0" y="0"/>
                <wp:positionH relativeFrom="column">
                  <wp:align>left</wp:align>
                </wp:positionH>
                <wp:positionV relativeFrom="line">
                  <wp:align>top</wp:align>
                </wp:positionV>
                <wp:extent cx="127000" cy="350520"/>
                <wp:effectExtent l="0" t="0" r="0" b="0"/>
                <wp:wrapSquare wrapText="right"/>
                <wp:docPr id="32"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potential effects of any global health crises, geopolitical tensions and macroeconomic conditions on our business, operations, and clinical development and regulatory timelines and plans; and </w:t>
      </w:r>
      <w:r>
        <mc:AlternateContent>
          <mc:Choice Requires="wps">
            <w:drawing>
              <wp:anchor behindDoc="0" distT="76200" distB="0" distL="254000" distR="0" simplePos="0" locked="0" layoutInCell="1" allowOverlap="1" relativeHeight="37">
                <wp:simplePos x="0" y="0"/>
                <wp:positionH relativeFrom="column">
                  <wp:align>left</wp:align>
                </wp:positionH>
                <wp:positionV relativeFrom="line">
                  <wp:align>top</wp:align>
                </wp:positionV>
                <wp:extent cx="127000" cy="350520"/>
                <wp:effectExtent l="0" t="0" r="0" b="0"/>
                <wp:wrapSquare wrapText="right"/>
                <wp:docPr id="33"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anticipated use of proceeds from this offering. </w:t>
      </w:r>
      <w:r>
        <mc:AlternateContent>
          <mc:Choice Requires="wps">
            <w:drawing>
              <wp:anchor behindDoc="0" distT="76200" distB="0" distL="254000" distR="0" simplePos="0" locked="0" layoutInCell="1" allowOverlap="1" relativeHeight="38">
                <wp:simplePos x="0" y="0"/>
                <wp:positionH relativeFrom="column">
                  <wp:align>left</wp:align>
                </wp:positionH>
                <wp:positionV relativeFrom="line">
                  <wp:align>top</wp:align>
                </wp:positionV>
                <wp:extent cx="127000" cy="350520"/>
                <wp:effectExtent l="0" t="0" r="0" b="0"/>
                <wp:wrapSquare wrapText="right"/>
                <wp:docPr id="34"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statements reflect our views as of the date on which they were made with respect to future events and are based on assumptions and subject to risks and uncertainties. The underlying information and expectations are likely to change over time. In addition, statements that “we believe” and similar statements reflect our beliefs and opinions on the relevant subject. These statements are based upon information available to us as of the date the statement is made,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Given these uncertainties, you should not place undue reliance on these forward-looking statements as actual events or results may differ materially from those projected in the forward-looking statements due to various factors, including, but not limited to, those set forth under the heading “Risk Factors” in this prospectus and in any applicable prospectus supplement, the documents incorporated by reference herein and therein or any free writing prospectus that we authorized. These forward-looking statements represent our estimates and assumptions only as of the date of the document containing the applicable statement. Our actual future results may be materially different from what we expect. We qualify all of the forward-looking statements contained in this prospectus, in the documents incorporated by reference herein and in any prospectus supplement by these cautionary statements. Unless required by law, we undertake no obligation to update or revise any forward-looking statements to reflect new information or future events or developments. Thus, you should not assume that our silence over time means that actual events are bearing out as expressed or implied in such forward-looking statements. Before deciding to purchase our securities, you should carefully consider the risk factors discussed herein or incorporated by reference, in addition to the other information set forth in this prospectus, any accompanying prospectus supplement or free writing prospectus and in the documents incorporated by reference.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tUOP"/>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0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and sell shares of our common stock having aggregate sales proceeds of up to $9,689,765 from time to time under this prospectus. The amount of the net proceeds to us from this offering will depend upon the number of shares of our common stock sold and the price at which they are sold. There can be no assurance that we will be able to sell any shares under or fully utilize the sales agreement with Jones. Because there is no minimum offering amount required in this offering, the actual total public offering amount, commissions and proceeds to us, if any, are not determinable at this time.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intend to use the net proceeds from this offering, if any, for general corporate purposes, including but not limited to, clinical trial expenses, research and development expenses, general and administrative expenses and capital expenditures. We may also use a portion of the net proceeds to in-license, invest in or acquire businesses, assets, or technologies that we believe are complementary to our own, although we have no current plans, commitments, or agreements with respect to any acquisitions.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expected use of net proceeds from this offering represents our intentions based upon our current plans and business conditions, which could change in the future as our plans and business conditions evolve. We have not determined the amounts we plan to spend on any of the areas listed above or the timing of these expenditures. The amounts and timing of our actual expenditures may vary significantly depending on numerous factors, including the actual net proceeds from this offering (which will depend on the market price of our common stock during the sales period, any limits we may set with Jones in any applicable placement notice and the demand for our common stock), the progress of our development, the status of and results from clinical trials and collaborations that we may enter into with third parties for our product candidates and any unforeseen cash needs, including the factors described under “Risk Factors” in this prospectus and in the documents incorporated by reference herein. As a result, our management will retain broad discretion over the allocation of the net proceeds from this offering. We may find it necessary or advisable to use the net proceeds from this offering for other purposes, and we will have broad discretion in the application of net proceeds.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tDIL"/>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DILUTION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invest in our common stock in this offering, your ownership interest will be diluted immediately to the extent of the difference between the public offering price per share and the as adjusted net tangible book value per share of our common stock after this offering.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net tangible book value as of March 31, 2026 was approximately $14.2 million, or $1.51 per share. We calculate net tangible book value per share by dividing the net tangible book value, which is total assets less total liabilities and intangible assets as of March 31, 2026, by the number of outstanding shares of our common stock. Dilution represents the difference between the portion of the amount per share paid by purchasers of shares in this offering and the as adjusted net tangible book deficit per share of our common stock immediately after giving effect to this offering.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pro forma net tangible book value as of March 31, 2026 was approximately $24.5 million, or $1.96 per share. We calculate pro forma net tangible book value per share by dividing the net tangible book value, which is total assets less total liabilities and intangible assets as of March 31, 2026, by the number of outstanding shares of our common stock, after giving effect to the Prior Sales, pursuant to which we issued and sold 3,110,769 shares of our common stock in July 2026 pursuant to the Sales Agreement, and after deducting commissions and aggregate offering expenses payable by 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giving effect to the assumed sale by us of 3,146,027 shares of our common stock in the aggregate amount of approximately $9.7 million in this offering at an assumed offering price of $3.08 per share, which was the last reported sale price of our common stock on Nasdaq on July 16, 2026, and after deducting commissions and estimated aggregate offering expenses payable by us, our pro forma as adjusted net tangible book value as of March 31, 2026 would have been approximately $34.0 million, or $2.17 per share of common stock. This represents an immediate increase in net tangible book value per share of $0.21 to our existing stockholders and an immediate dilution in net tangible book value per share of $0.91 to new investors purchasing common stock in this offering. The following table illustrates this dilution on a per share basis to new investors participating in this offering. </w:t>
      </w:r>
    </w:p>
    <w:tbl>
      <w:tblPr>
        <w:tblW w:w="8812" w:type="dxa"/>
        <w:jc w:val="left"/>
        <w:tblInd w:w="1393" w:type="dxa"/>
        <w:tblLayout w:type="fixed"/>
        <w:tblCellMar>
          <w:top w:w="0" w:type="dxa"/>
          <w:left w:w="0" w:type="dxa"/>
          <w:bottom w:w="0" w:type="dxa"/>
          <w:right w:w="0" w:type="dxa"/>
        </w:tblCellMar>
      </w:tblPr>
      <w:tblGrid>
        <w:gridCol w:w="124"/>
        <w:gridCol w:w="6103"/>
        <w:gridCol w:w="109"/>
        <w:gridCol w:w="109"/>
        <w:gridCol w:w="109"/>
        <w:gridCol w:w="226"/>
        <w:gridCol w:w="553"/>
        <w:gridCol w:w="109"/>
        <w:gridCol w:w="109"/>
        <w:gridCol w:w="109"/>
        <w:gridCol w:w="109"/>
        <w:gridCol w:w="226"/>
        <w:gridCol w:w="553"/>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6103" w:type="dxa"/>
            <w:tcBorders/>
            <w:shd w:fill="CCEEFF" w:val="clear"/>
            <w:vAlign w:val="center"/>
          </w:tcPr>
          <w:p>
            <w:pPr>
              <w:pStyle w:val="TableContents"/>
              <w:bidi w:val="0"/>
              <w:spacing w:before="0" w:after="0"/>
              <w:jc w:val="left"/>
              <w:rPr>
                <w:spacing w:val="4"/>
              </w:rPr>
            </w:pPr>
            <w:r>
              <w:rPr>
                <w:spacing w:val="4"/>
              </w:rPr>
              <w:t xml:space="preserve">Assumed offering price per share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553" w:type="dxa"/>
            <w:tcBorders/>
            <w:shd w:fill="CCEEFF" w:val="clear"/>
            <w:vAlign w:val="center"/>
          </w:tcPr>
          <w:p>
            <w:pPr>
              <w:pStyle w:val="TableContents"/>
              <w:bidi w:val="0"/>
              <w:spacing w:before="0" w:after="283"/>
              <w:jc w:val="righ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553" w:type="dxa"/>
            <w:tcBorders/>
            <w:shd w:fill="CCEEFF" w:val="clear"/>
            <w:vAlign w:val="center"/>
          </w:tcPr>
          <w:p>
            <w:pPr>
              <w:pStyle w:val="TableContents"/>
              <w:bidi w:val="0"/>
              <w:spacing w:before="0" w:after="283"/>
              <w:jc w:val="right"/>
              <w:rPr/>
            </w:pPr>
            <w:r>
              <w:rPr/>
              <w:t xml:space="preserve">3.08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103" w:type="dxa"/>
            <w:tcBorders/>
            <w:vAlign w:val="center"/>
          </w:tcPr>
          <w:p>
            <w:pPr>
              <w:pStyle w:val="TableContents"/>
              <w:bidi w:val="0"/>
              <w:spacing w:before="0" w:after="0"/>
              <w:jc w:val="left"/>
              <w:rPr>
                <w:spacing w:val="4"/>
              </w:rPr>
            </w:pPr>
            <w:r>
              <w:rPr>
                <w:spacing w:val="4"/>
              </w:rPr>
              <w:t xml:space="preserve">Historical net tangible book value per share as of March 31, 2026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553" w:type="dxa"/>
            <w:tcBorders/>
            <w:vAlign w:val="center"/>
          </w:tcPr>
          <w:p>
            <w:pPr>
              <w:pStyle w:val="TableContents"/>
              <w:bidi w:val="0"/>
              <w:spacing w:before="0" w:after="283"/>
              <w:jc w:val="right"/>
              <w:rPr/>
            </w:pPr>
            <w:r>
              <w:rPr/>
              <w:t>1.51</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553"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6103" w:type="dxa"/>
            <w:tcBorders>
              <w:bottom w:val="single" w:sz="2" w:space="0" w:color="CCEEFF"/>
            </w:tcBorders>
            <w:shd w:fill="CCEEFF" w:val="clear"/>
            <w:tcMar>
              <w:bottom w:w="37" w:type="dxa"/>
            </w:tcMar>
            <w:vAlign w:val="center"/>
          </w:tcPr>
          <w:p>
            <w:pPr>
              <w:pStyle w:val="TableContents"/>
              <w:bidi w:val="0"/>
              <w:spacing w:before="0" w:after="0"/>
              <w:ind w:left="400" w:right="0" w:hanging="200"/>
              <w:jc w:val="left"/>
              <w:rPr>
                <w:spacing w:val="4"/>
              </w:rPr>
            </w:pPr>
            <w:r>
              <w:rPr>
                <w:spacing w:val="4"/>
              </w:rPr>
              <w:t xml:space="preserve">Pro forma increase in historical net tangible book value per share attributable to the pro forma transactions described above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553" w:type="dxa"/>
            <w:tcBorders>
              <w:bottom w:val="single" w:sz="2" w:space="0" w:color="000000"/>
            </w:tcBorders>
            <w:shd w:fill="CCEEFF" w:val="clear"/>
            <w:tcMar>
              <w:bottom w:w="37" w:type="dxa"/>
            </w:tcMar>
            <w:vAlign w:val="center"/>
          </w:tcPr>
          <w:p>
            <w:pPr>
              <w:pStyle w:val="TableContents"/>
              <w:bidi w:val="0"/>
              <w:spacing w:before="0" w:after="283"/>
              <w:jc w:val="right"/>
              <w:rPr/>
            </w:pPr>
            <w:r>
              <w:rPr/>
              <w:t xml:space="preserve">0.45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553"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103" w:type="dxa"/>
            <w:tcBorders/>
            <w:vAlign w:val="center"/>
          </w:tcPr>
          <w:p>
            <w:pPr>
              <w:pStyle w:val="TableContents"/>
              <w:bidi w:val="0"/>
              <w:spacing w:before="0" w:after="0"/>
              <w:ind w:left="400" w:right="0" w:hanging="0"/>
              <w:jc w:val="left"/>
              <w:rPr>
                <w:spacing w:val="4"/>
              </w:rPr>
            </w:pPr>
            <w:r>
              <w:rPr>
                <w:spacing w:val="4"/>
              </w:rPr>
              <w:t xml:space="preserve">Pro forma net tangible book value per share as of March 31, 2026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553" w:type="dxa"/>
            <w:tcBorders/>
            <w:vAlign w:val="center"/>
          </w:tcPr>
          <w:p>
            <w:pPr>
              <w:pStyle w:val="TableContents"/>
              <w:bidi w:val="0"/>
              <w:spacing w:before="0" w:after="283"/>
              <w:jc w:val="right"/>
              <w:rPr/>
            </w:pPr>
            <w:r>
              <w:rPr/>
              <w:t xml:space="preserve">1.96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553"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6103" w:type="dxa"/>
            <w:tcBorders>
              <w:bottom w:val="single" w:sz="2" w:space="0" w:color="CCEEFF"/>
            </w:tcBorders>
            <w:shd w:fill="CCEEFF" w:val="clear"/>
            <w:tcMar>
              <w:bottom w:w="37" w:type="dxa"/>
            </w:tcMar>
            <w:vAlign w:val="center"/>
          </w:tcPr>
          <w:p>
            <w:pPr>
              <w:pStyle w:val="TableContents"/>
              <w:bidi w:val="0"/>
              <w:spacing w:before="0" w:after="0"/>
              <w:ind w:left="400" w:right="0" w:hanging="200"/>
              <w:jc w:val="left"/>
              <w:rPr/>
            </w:pPr>
            <w:r>
              <w:rPr>
                <w:spacing w:val="4"/>
              </w:rPr>
              <w:t xml:space="preserve">Increase in pro forma as adjusted net tangible book value per share attributable </w:t>
            </w:r>
            <w:r>
              <w:rPr/>
              <w:br/>
            </w:r>
            <w:r>
              <w:rPr>
                <w:spacing w:val="4"/>
              </w:rPr>
              <w:t xml:space="preserve">to investors purchasing shares in this offering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553" w:type="dxa"/>
            <w:tcBorders>
              <w:bottom w:val="single" w:sz="2" w:space="0" w:color="000000"/>
            </w:tcBorders>
            <w:shd w:fill="CCEEFF" w:val="clear"/>
            <w:tcMar>
              <w:bottom w:w="37" w:type="dxa"/>
            </w:tcMar>
            <w:vAlign w:val="center"/>
          </w:tcPr>
          <w:p>
            <w:pPr>
              <w:pStyle w:val="TableContents"/>
              <w:bidi w:val="0"/>
              <w:spacing w:before="0" w:after="283"/>
              <w:jc w:val="right"/>
              <w:rPr/>
            </w:pPr>
            <w:r>
              <w:rPr/>
              <w:t xml:space="preserve">0.21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553"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FFFFFF"/>
            </w:tcBorders>
            <w:tcMar>
              <w:bottom w:w="28" w:type="dxa"/>
            </w:tcMar>
            <w:vAlign w:val="center"/>
          </w:tcPr>
          <w:p>
            <w:pPr>
              <w:pStyle w:val="TableContents"/>
              <w:bidi w:val="0"/>
              <w:spacing w:before="0" w:after="283"/>
              <w:jc w:val="left"/>
              <w:rPr/>
            </w:pPr>
            <w:r>
              <w:rPr/>
              <w:t>​</w:t>
            </w:r>
          </w:p>
        </w:tc>
        <w:tc>
          <w:tcPr>
            <w:tcW w:w="6103" w:type="dxa"/>
            <w:tcBorders>
              <w:bottom w:val="single" w:sz="2" w:space="0" w:color="FFFFFF"/>
            </w:tcBorders>
            <w:tcMar>
              <w:bottom w:w="37" w:type="dxa"/>
            </w:tcMar>
            <w:vAlign w:val="center"/>
          </w:tcPr>
          <w:p>
            <w:pPr>
              <w:pStyle w:val="TableContents"/>
              <w:bidi w:val="0"/>
              <w:spacing w:before="0" w:after="0"/>
              <w:ind w:left="200" w:right="0" w:hanging="200"/>
              <w:jc w:val="left"/>
              <w:rPr/>
            </w:pPr>
            <w:r>
              <w:rPr>
                <w:spacing w:val="4"/>
              </w:rPr>
              <w:t xml:space="preserve">Pro forma as adjusted net tangible book value per share after giving effect to this </w:t>
            </w:r>
            <w:r>
              <w:rPr/>
              <w:br/>
            </w:r>
            <w:r>
              <w:rPr>
                <w:spacing w:val="4"/>
              </w:rPr>
              <w:t xml:space="preserve">offering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FFFFFF"/>
            </w:tcBorders>
            <w:tcMar>
              <w:bottom w:w="28" w:type="dxa"/>
            </w:tcMar>
            <w:vAlign w:val="center"/>
          </w:tcPr>
          <w:p>
            <w:pPr>
              <w:pStyle w:val="TableContents"/>
              <w:bidi w:val="0"/>
              <w:spacing w:before="0" w:after="283"/>
              <w:jc w:val="right"/>
              <w:rPr/>
            </w:pPr>
            <w:r>
              <w:rPr/>
              <w:t>​</w:t>
            </w:r>
          </w:p>
        </w:tc>
        <w:tc>
          <w:tcPr>
            <w:tcW w:w="553" w:type="dxa"/>
            <w:tcBorders>
              <w:bottom w:val="single" w:sz="2" w:space="0" w:color="FFFFFF"/>
            </w:tcBorders>
            <w:tcMar>
              <w:bottom w:w="28" w:type="dxa"/>
            </w:tcMar>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37" w:type="dxa"/>
            </w:tcMar>
            <w:vAlign w:val="center"/>
          </w:tcPr>
          <w:p>
            <w:pPr>
              <w:pStyle w:val="TableContents"/>
              <w:bidi w:val="0"/>
              <w:spacing w:before="0" w:after="283"/>
              <w:jc w:val="right"/>
              <w:rPr/>
            </w:pPr>
            <w:r>
              <w:rPr/>
              <w:t>​</w:t>
            </w:r>
          </w:p>
        </w:tc>
        <w:tc>
          <w:tcPr>
            <w:tcW w:w="553" w:type="dxa"/>
            <w:tcBorders>
              <w:bottom w:val="single" w:sz="2" w:space="0" w:color="000000"/>
            </w:tcBorders>
            <w:tcMar>
              <w:bottom w:w="37" w:type="dxa"/>
            </w:tcMar>
            <w:vAlign w:val="center"/>
          </w:tcPr>
          <w:p>
            <w:pPr>
              <w:pStyle w:val="TableContents"/>
              <w:bidi w:val="0"/>
              <w:spacing w:before="0" w:after="283"/>
              <w:jc w:val="right"/>
              <w:rPr/>
            </w:pPr>
            <w:r>
              <w:rPr/>
              <w:t xml:space="preserve">2.17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6103" w:type="dxa"/>
            <w:tcBorders/>
            <w:shd w:fill="CCEEFF" w:val="clear"/>
            <w:vAlign w:val="center"/>
          </w:tcPr>
          <w:p>
            <w:pPr>
              <w:pStyle w:val="TableContents"/>
              <w:bidi w:val="0"/>
              <w:spacing w:before="0" w:after="0"/>
              <w:jc w:val="left"/>
              <w:rPr>
                <w:spacing w:val="4"/>
              </w:rPr>
            </w:pPr>
            <w:r>
              <w:rPr>
                <w:spacing w:val="4"/>
              </w:rPr>
              <w:t xml:space="preserve">Dilution per share to new investors in this offering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553" w:type="dxa"/>
            <w:tcBorders/>
            <w:shd w:fill="CCEEFF" w:val="clear"/>
            <w:vAlign w:val="center"/>
          </w:tcPr>
          <w:p>
            <w:pPr>
              <w:pStyle w:val="TableContents"/>
              <w:bidi w:val="0"/>
              <w:spacing w:before="0" w:after="283"/>
              <w:jc w:val="righ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553" w:type="dxa"/>
            <w:tcBorders>
              <w:bottom w:val="double" w:sz="8" w:space="0" w:color="000000"/>
            </w:tcBorders>
            <w:shd w:fill="CCEEFF" w:val="clear"/>
            <w:tcMar>
              <w:bottom w:w="50" w:type="dxa"/>
            </w:tcMar>
            <w:vAlign w:val="center"/>
          </w:tcPr>
          <w:p>
            <w:pPr>
              <w:pStyle w:val="TableContents"/>
              <w:bidi w:val="0"/>
              <w:spacing w:before="0" w:after="283"/>
              <w:jc w:val="right"/>
              <w:rPr/>
            </w:pPr>
            <w:r>
              <w:rPr/>
              <w:t>0.91</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bl>
    <w:p>
      <w:pPr>
        <w:pStyle w:val="TextBody"/>
        <w:bidi w:val="0"/>
        <w:spacing w:lineRule="atLeast" w:line="230" w:before="256"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table above assumes, for illustrative purposes, that an aggregate of 3,146,027 shares of our common stock are sold at a price of $3.08 per share, the last reported sale price of our common stock on Nasdaq on July 16, 2026, for aggregate gross proceeds of approximately $9.7 million. The shares sold in this offering, if any, will be sold from time to time at various prices. An increase of $1.00 per share in the price at which the shares are sold from the assumed offering price of $3.08 per share shown in the table above, assuming all of our common stock in the aggregate amount of approximately $9.7 million under the Sales Agreement with Jones is sold at that price, would result in our as adjusted net tangible book value per share after this offering being $2.28 per share and would increase the dilution in net tangible book value per share to new investors in this offering to $1.80 per share, after deducting commissions and estimated aggregate offering expenses payable by us. A decrease of $1.00 per share in the price at which the shares are sold from the assumed offering price of $3.08 per share shown in the table above, assuming all of our common stock in the aggregate amount of approximately $9.7 million under the Sales Agreement with Jones is sold at that price, would result in our as adjusted net tangible book value per share after this offering being $1.98 per share and would decrease the dilution in net tangible book value per share to new investors in this offering to $0.10 per share, after deducting commissions and estimated aggregate offering expenses payable by 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40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information is supplied for illustrative purposes only and may differ based on the actual offering price and the actual number of shares offered.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above discussion and table are based on 12,492,113 shares of our common stock outstanding pro forma as of March 31, 2026, consisting of 9,381,344 shares of our common stock outstanding as of March 31, 2026 (actual) and after giving effect to the Prior Sales, pursuant to which we issued and sold 3,110,769 shares of our common stock in July 2026 pursuant to the Sales Agreement, and excludes, as of that date: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784,583 shares of our common stock issuable upon the exercise of outstanding options under our 2025 Equity Incentive Plan, with a weighted average exercise price of $10.43 per share; </w:t>
      </w:r>
      <w:r>
        <mc:AlternateContent>
          <mc:Choice Requires="wps">
            <w:drawing>
              <wp:anchor behindDoc="0" distT="76200" distB="0" distL="254000" distR="0" simplePos="0" locked="0" layoutInCell="1" allowOverlap="1" relativeHeight="39">
                <wp:simplePos x="0" y="0"/>
                <wp:positionH relativeFrom="column">
                  <wp:align>left</wp:align>
                </wp:positionH>
                <wp:positionV relativeFrom="line">
                  <wp:align>top</wp:align>
                </wp:positionV>
                <wp:extent cx="127000" cy="350520"/>
                <wp:effectExtent l="0" t="0" r="0" b="0"/>
                <wp:wrapSquare wrapText="right"/>
                <wp:docPr id="35"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713,922 shares of our common stock issuable upon the exercise of outstanding options under the Legacy Tvardi 2018 Stock Incentive Plan, which were assumed by the Company in connection with the Merger, with a weighted average exercise price of $3.21 per share; </w:t>
      </w:r>
      <w:r>
        <mc:AlternateContent>
          <mc:Choice Requires="wps">
            <w:drawing>
              <wp:anchor behindDoc="0" distT="76200" distB="0" distL="254000" distR="0" simplePos="0" locked="0" layoutInCell="1" allowOverlap="1" relativeHeight="40">
                <wp:simplePos x="0" y="0"/>
                <wp:positionH relativeFrom="column">
                  <wp:align>left</wp:align>
                </wp:positionH>
                <wp:positionV relativeFrom="line">
                  <wp:align>top</wp:align>
                </wp:positionV>
                <wp:extent cx="127000" cy="350520"/>
                <wp:effectExtent l="0" t="0" r="0" b="0"/>
                <wp:wrapSquare wrapText="right"/>
                <wp:docPr id="36"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8,491 shares of our common stock issuable upon the exercise of outstanding options under the Cara 2014 Equity Incentive Plan, with a weighted average exercise price of $141.14 per share; </w:t>
      </w:r>
      <w:r>
        <mc:AlternateContent>
          <mc:Choice Requires="wps">
            <w:drawing>
              <wp:anchor behindDoc="0" distT="76200" distB="0" distL="254000" distR="0" simplePos="0" locked="0" layoutInCell="1" allowOverlap="1" relativeHeight="41">
                <wp:simplePos x="0" y="0"/>
                <wp:positionH relativeFrom="column">
                  <wp:align>left</wp:align>
                </wp:positionH>
                <wp:positionV relativeFrom="line">
                  <wp:align>top</wp:align>
                </wp:positionV>
                <wp:extent cx="127000" cy="350520"/>
                <wp:effectExtent l="0" t="0" r="0" b="0"/>
                <wp:wrapSquare wrapText="right"/>
                <wp:docPr id="37" name="Frame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680,650 shares of our common stock reserved for future issuance under the 2025 Equity Incentive Plan, as well as any increases, at the discretion of our board of directors, in the number of shares of common stock reserved for future issuance under this plan; and </w:t>
      </w:r>
      <w:r>
        <mc:AlternateContent>
          <mc:Choice Requires="wps">
            <w:drawing>
              <wp:anchor behindDoc="0" distT="76200" distB="0" distL="254000" distR="0" simplePos="0" locked="0" layoutInCell="1" allowOverlap="1" relativeHeight="42">
                <wp:simplePos x="0" y="0"/>
                <wp:positionH relativeFrom="column">
                  <wp:align>left</wp:align>
                </wp:positionH>
                <wp:positionV relativeFrom="line">
                  <wp:align>top</wp:align>
                </wp:positionV>
                <wp:extent cx="127000" cy="350520"/>
                <wp:effectExtent l="0" t="0" r="0" b="0"/>
                <wp:wrapSquare wrapText="right"/>
                <wp:docPr id="38" name="Frame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199,490 shares of our common stock reserved for future issuance under our 2025 Employee Stock Purchase Plan, as well as any automatic increases in the number of shares of common stock reserved for future issuance under this plan. </w:t>
      </w:r>
      <w:r>
        <mc:AlternateContent>
          <mc:Choice Requires="wps">
            <w:drawing>
              <wp:anchor behindDoc="0" distT="76200" distB="0" distL="254000" distR="0" simplePos="0" locked="0" layoutInCell="1" allowOverlap="1" relativeHeight="43">
                <wp:simplePos x="0" y="0"/>
                <wp:positionH relativeFrom="column">
                  <wp:align>left</wp:align>
                </wp:positionH>
                <wp:positionV relativeFrom="line">
                  <wp:align>top</wp:align>
                </wp:positionV>
                <wp:extent cx="127000" cy="350520"/>
                <wp:effectExtent l="0" t="0" r="0" b="0"/>
                <wp:wrapSquare wrapText="right"/>
                <wp:docPr id="39" name="Frame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that outstanding options are exercised, or we issue additional options, restricted stock units, or shares of our common stock in the future, investors purchasing shares in this offering could experience further dilution. In addition, we may choose to raise additional capital due to market conditions or strategic considerations, even if we believe we have sufficient funds for our current or future operating plans. To the extent that additional capital is raised through the sale of equity or equity-based securities, the issuance of these securities could result in further dilution to our stockholders.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tPOD"/>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PLAN OF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previously entered into a Sales Agreement with Jones, under which we may offer and sell our shares of common stock from time to time through Jones acting as agent. We previously filed a prospectus dated May 12, 2026, relating to the offer and sale of our common stock under the Sales Agreement having an aggregate offering price of up to $12,500,000, of which $11,046,550 was sold. No additional common stock will be sold under the previously filed prospectus following the date of this prospectus supplement. Pursuant to this prospectus supplement, we may offer and sell up to $9,689,765 of our shares of common stock, which amount is in addition to the common stock previously sold under the previously filed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Sales of our common stock, if any, under this prospectus will be made by any method permitted that is deemed to be an “at the market offering” as defined in Rule 415(a)(4) under the Securities Act.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time we wish to issue and sell our shares of common stock under the Sales Agreement, we will notify Jones of the number of shares to be issued, the dates on which such sales are anticipated to be made, any limitation on the number of shares to be sold in any one day and any minimum price below which sales may not be made. Once we have so instructed Jones, unless Jones declines to accept the terms of such notice, Jones has agreed to use its commercially reasonable efforts consistent with its normal trading and sales practices to sell such shares up to the amount specified on such terms. The obligations of Jones under the Sales Agreement to sell our shares of common stock are subject to a number of conditions that we must meet.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settlement of sales of shares between us and Jones is generally anticipated to occur on the first trading day following the date on which the sale was made. Sales of our shares of common stock as contemplated in this prospectus will be settled through the facilities of The Depository Trust Company or by such other means as we and Jones may agree upon. There is no arrangement for funds to be received in an escrow, trust or similar arrangement.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pay Jones a commission of up to 3.0% of the aggregate gross proceeds we receive from each sale of our shares of common stock. Because there is no minimum offering amount required as a condition to close this offering, the actual total public offering amount, commissions and proceeds to us, if any, are not determinable at this time. In addition, we previously agreed to reimburse Jones for the fees and disbursements of its counsel, payable upon execution of the Sales Agreement, in an amount not to exceed $75,000, in addition to certain ongoing disbursements of its legal counsel. We estimate that the total expenses for the offering, excluding any commissions or expense reimbursement payable to Jones under the terms of the Sales Agreement, will be approximately $150,000. The remaining sale proceeds, after deducting any other transaction fees, will equal our net proceeds from the sale of such shares.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Jones will provide written confirmation to us before the open on the Nasdaq Capital Market on the day following each day on which our shares of common stock are sold under the Sales Agreement. Each confirmation will include the number of shares sold on that day, the aggregate gross proceeds of such sales and the proceeds to 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sale of our shares of common stock on our behalf, Jones will be deemed to be an “underwriter” within the meaning of the Securities Act, and the compensation of Jones will be deemed to be underwriting commissions or discounts. We have agreed to indemnify Jones against certain civil liabilities, including liabilities under the Securities Act. We have also agreed to contribute to payments Jones may be required to make in respect of such liabilities.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offering of our shares of common stock pursuant to the Sales Agreement will terminate as permitted therein.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summary of the material provisions of the Sales Agreement does not purport to be a complete statement of its terms and conditions. A copy of the Sales Agreement is attached as an exhibit to the registration statement of which this prospectus forms a part.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Jones and its affiliates may in the future provide various investment banking, commercial banking, financial advisory and other financial services for us and our affiliates, for which services they may in the future receive customary fees. In the course of its business, Jones may actively trade our securities for its own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44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account or for the accounts of customers, and, accordingly, Jones may at any time hold long or short positions in such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prospectus in electronic format may be made available on a website maintained by Jones, and Jones may distribute the prospectus electronically.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tLEMA"/>
      <w:bookmarkEnd w:id="11"/>
      <w:r>
        <w:rPr>
          <w:rFonts w:ascii="calibri;arial;sans-serif" w:hAnsi="calibri;arial;sans-serif"/>
          <w:b w:val="false"/>
          <w:i w:val="false"/>
          <w:caps w:val="false"/>
          <w:smallCaps w:val="false"/>
          <w:color w:val="000000"/>
          <w:sz w:val="16"/>
        </w:rPr>
        <w:t>​</w:t>
      </w:r>
      <w:bookmarkStart w:id="12" w:name="tEXP"/>
      <w:bookmarkEnd w:id="12"/>
      <w:r>
        <w:rPr>
          <w:rFonts w:ascii="calibri;arial;sans-serif" w:hAnsi="calibri;arial;sans-serif"/>
          <w:b w:val="false"/>
          <w:i w:val="false"/>
          <w:caps w:val="false"/>
          <w:smallCaps w:val="false"/>
          <w:color w:val="000000"/>
          <w:sz w:val="16"/>
        </w:rPr>
        <w:t>​</w:t>
      </w:r>
      <w:bookmarkStart w:id="13" w:name="tWYCF"/>
      <w:bookmarkEnd w:id="1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5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validity of the issuance of the common stock offered by this prospectus will be passed upon for us by Cooley LLP, Washington, D.C. JonesTrading Institutional Services LLC is being represented in connection with this offering by Paul Hastings LLP, New York, New York.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The financial statements of Tvardi Therapeutics, Inc. as of December 31, 2025 and 2024, and for each of the two years in the period ended December 31, 2025, incorporated by reference in this Prospectus by reference to Tvardi Therapeutics, Inc.’s </w:t>
      </w:r>
      <w:hyperlink r:id="rId5">
        <w:r>
          <w:rPr>
            <w:rStyle w:val="InternetLink"/>
          </w:rPr>
          <w:t>Annual Report on Form 10-K for the year ended December 31, 2025</w:t>
        </w:r>
      </w:hyperlink>
      <w:r>
        <w:rPr>
          <w:rFonts w:ascii="Times New Roman;Times;serif" w:hAnsi="Times New Roman;Times;serif"/>
          <w:b w:val="false"/>
          <w:i w:val="false"/>
          <w:caps w:val="false"/>
          <w:smallCaps w:val="false"/>
          <w:color w:val="000000"/>
          <w:spacing w:val="4"/>
          <w:sz w:val="20"/>
        </w:rPr>
        <w:t xml:space="preserve">, have been audited by Deloitte &amp; Touche LLP, an independent registered public accounting firm, as stated in their report. Such financial statements are incorporated by reference in reliance upon the report of such firm given their authority as experts in accounting and auditing.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part of a registration statement we filed with the SEC. This prospectus does not contain all of the information set forth in the registration statement and the exhibits to the registration statement. For further information with respect to us and the securities we are offering under this prospectus, we refer you to the registration statement and the exhibits and schedules filed as a part of the registration statement. Neither we nor any agent, underwriter or dealer has authorized any person to provide you with different information. We are not making an offer of these securities in any state where the offer is not permitted. You should not assume that the information in this prospectus is accurate as of any date other than the date on the front page of this prospectus, regardless of the time of delivery of this prospectus or any sale of the securities offered by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file annual, quarterly and current reports, proxy statements and other information with the SEC. The SEC maintains a website that contains reports, proxy statements and other information regarding issuers that file electronically with the SEC, including Tvardi Therapeutics, Inc. The address of the SEC website is www.sec.gov.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maintain a website at www.tvarditherapeutics.com. Information contained in or accessible through our website does not constitute a part of this prospectus. We have included our website address as an inactive textual reference only.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tIOCI"/>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9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INCORPORATION OF CERTAIN INFORMATION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allows us to “incorporate by reference” information that we file with it, which means that we can disclose important information to you by referring you to those documents. The information incorporated by reference is an important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also incorporate by reference into this prospectus the documents listed below and any future filings made by us with the SEC (other than Current Reports or portions thereof furnished under Item 2.02 or Item 7.01 of Form 8-K and exhibits filed on such form that are related to such items and other portions of documents that are furnished, but not filed, or are otherwise not incorporated into registration statements pursuant to applicable rules promulgated by the SEC) that are filed by us with the SEC pursuant to Sections 13(a), 13(c), 14 or 15(d) of the Exchange Act (i) after the date of the filing of the registration statement of which this prospectus is a part and prior to effectiveness of the registration statement, and (ii) after the effectiveness of the registration statement but prior to the termination of all offerings of securities covered by this prospectus: </w:t>
      </w:r>
    </w:p>
    <w:p>
      <w:pPr>
        <w:pStyle w:val="TextBody"/>
        <w:bidi w:val="0"/>
        <w:spacing w:lineRule="atLeast" w:line="240" w:before="120" w:after="0"/>
        <w:ind w:left="1993" w:right="0" w:hanging="0"/>
        <w:jc w:val="left"/>
        <w:rPr/>
      </w:pPr>
      <w:hyperlink r:id="rId6">
        <w:r>
          <w:rPr>
            <w:rStyle w:val="InternetLink"/>
          </w:rPr>
          <w:t>our Annual Report on Form 10-K for the fiscal year ended December 31, 2025, filed with the SEC on March 31,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4">
                <wp:simplePos x="0" y="0"/>
                <wp:positionH relativeFrom="column">
                  <wp:align>left</wp:align>
                </wp:positionH>
                <wp:positionV relativeFrom="line">
                  <wp:align>top</wp:align>
                </wp:positionV>
                <wp:extent cx="127000" cy="350520"/>
                <wp:effectExtent l="0" t="0" r="0" b="0"/>
                <wp:wrapSquare wrapText="right"/>
                <wp:docPr id="40" name="Frame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hyperlink r:id="rId7">
        <w:r>
          <w:rPr>
            <w:rStyle w:val="InternetLink"/>
          </w:rPr>
          <w:t>our Quarterly Report on Form 10-Q for the period ended March 31, 2026, filed with the SEC on May 8,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5">
                <wp:simplePos x="0" y="0"/>
                <wp:positionH relativeFrom="column">
                  <wp:align>left</wp:align>
                </wp:positionH>
                <wp:positionV relativeFrom="line">
                  <wp:align>top</wp:align>
                </wp:positionV>
                <wp:extent cx="127000" cy="350520"/>
                <wp:effectExtent l="0" t="0" r="0" b="0"/>
                <wp:wrapSquare wrapText="right"/>
                <wp:docPr id="41" name="Frame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the information specifically incorporated by reference into our </w:t>
      </w:r>
      <w:hyperlink r:id="rId8">
        <w:r>
          <w:rPr>
            <w:rStyle w:val="InternetLink"/>
          </w:rPr>
          <w:t>Annual Report on Form 10-K for the year ended December 31, 2025</w:t>
        </w:r>
      </w:hyperlink>
      <w:r>
        <w:rPr>
          <w:rFonts w:ascii="Times New Roman;Times;serif" w:hAnsi="Times New Roman;Times;serif"/>
          <w:b w:val="false"/>
          <w:i w:val="false"/>
          <w:caps w:val="false"/>
          <w:smallCaps w:val="false"/>
          <w:color w:val="000000"/>
          <w:spacing w:val="4"/>
          <w:sz w:val="20"/>
        </w:rPr>
        <w:t xml:space="preserve"> from our </w:t>
      </w:r>
      <w:hyperlink r:id="rId9">
        <w:r>
          <w:rPr>
            <w:rStyle w:val="InternetLink"/>
          </w:rPr>
          <w:t>Definitive Proxy Statement on Schedule 14A, filed with the SEC on April 23,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6">
                <wp:simplePos x="0" y="0"/>
                <wp:positionH relativeFrom="column">
                  <wp:align>left</wp:align>
                </wp:positionH>
                <wp:positionV relativeFrom="line">
                  <wp:align>top</wp:align>
                </wp:positionV>
                <wp:extent cx="127000" cy="350520"/>
                <wp:effectExtent l="0" t="0" r="0" b="0"/>
                <wp:wrapSquare wrapText="right"/>
                <wp:docPr id="42" name="Frame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Current Reports on Form 8-K, filed with the SEC on </w:t>
      </w:r>
      <w:hyperlink r:id="rId10">
        <w:r>
          <w:rPr>
            <w:rStyle w:val="InternetLink"/>
          </w:rPr>
          <w:t>March 6, 2026</w:t>
        </w:r>
      </w:hyperlink>
      <w:r>
        <w:rPr>
          <w:rFonts w:ascii="Times New Roman;Times;serif" w:hAnsi="Times New Roman;Times;serif"/>
          <w:b w:val="false"/>
          <w:i w:val="false"/>
          <w:caps w:val="false"/>
          <w:smallCaps w:val="false"/>
          <w:color w:val="000000"/>
          <w:spacing w:val="4"/>
          <w:sz w:val="20"/>
        </w:rPr>
        <w:t xml:space="preserve"> and </w:t>
      </w:r>
      <w:hyperlink r:id="rId11">
        <w:r>
          <w:rPr>
            <w:rStyle w:val="InternetLink"/>
          </w:rPr>
          <w:t>June 11, 2026</w:t>
        </w:r>
      </w:hyperlink>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76200" distB="0" distL="254000" distR="0" simplePos="0" locked="0" layoutInCell="1" allowOverlap="1" relativeHeight="47">
                <wp:simplePos x="0" y="0"/>
                <wp:positionH relativeFrom="column">
                  <wp:align>left</wp:align>
                </wp:positionH>
                <wp:positionV relativeFrom="line">
                  <wp:align>top</wp:align>
                </wp:positionV>
                <wp:extent cx="127000" cy="350520"/>
                <wp:effectExtent l="0" t="0" r="0" b="0"/>
                <wp:wrapSquare wrapText="right"/>
                <wp:docPr id="43" name="Frame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the description of our common stock, which is registered under Section 12 of the Exchange Act, described in </w:t>
      </w:r>
      <w:hyperlink r:id="rId12">
        <w:r>
          <w:rPr>
            <w:rStyle w:val="InternetLink"/>
          </w:rPr>
          <w:t>Exhibit 4.1</w:t>
        </w:r>
      </w:hyperlink>
      <w:r>
        <w:rPr>
          <w:rFonts w:ascii="Times New Roman;Times;serif" w:hAnsi="Times New Roman;Times;serif"/>
          <w:b w:val="false"/>
          <w:i w:val="false"/>
          <w:caps w:val="false"/>
          <w:smallCaps w:val="false"/>
          <w:color w:val="000000"/>
          <w:spacing w:val="4"/>
          <w:sz w:val="20"/>
        </w:rPr>
        <w:t xml:space="preserve"> to our Annual Report on Form 10-K, filed with the SEC on March 31, 2026, including all amendments or reports filed for the purpose of updating such description. </w:t>
      </w:r>
      <w:r>
        <mc:AlternateContent>
          <mc:Choice Requires="wps">
            <w:drawing>
              <wp:anchor behindDoc="0" distT="76200" distB="0" distL="254000" distR="0" simplePos="0" locked="0" layoutInCell="1" allowOverlap="1" relativeHeight="48">
                <wp:simplePos x="0" y="0"/>
                <wp:positionH relativeFrom="column">
                  <wp:align>left</wp:align>
                </wp:positionH>
                <wp:positionV relativeFrom="line">
                  <wp:align>top</wp:align>
                </wp:positionV>
                <wp:extent cx="127000" cy="350520"/>
                <wp:effectExtent l="0" t="0" r="0" b="0"/>
                <wp:wrapSquare wrapText="right"/>
                <wp:docPr id="44" name="Frame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provide to each person, including any beneficial owner, to whom a prospectus is delivered, without charge upon written or oral request, a copy of any or all of the documents that are incorporated by reference into this prospectus but not delivered with the prospectus, including exhibits which are specifically incorporated by reference into such documents. You should direct any requests for documents by writing us at 3 Sugar Creek Ctr. Blvd., Suite 525, Sugar Land, Texas 77478, or by telephoning us at (713) 489-8654.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Any statement contained herein or in a document incorporated or deemed to be incorporated by reference into this document will be deemed to be modified or superseded for purposes of the document to the extent that a statement contained in this document or any other subsequently filed document that is deemed to be incorporated by reference into this document modifies or supersedes the statement.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437"/>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1285875" cy="514350"/>
            <wp:effectExtent l="0" t="0" r="0" b="0"/>
            <wp:docPr id="4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3" descr=""/>
                    <pic:cNvPicPr>
                      <a:picLocks noChangeAspect="1" noChangeArrowheads="1"/>
                    </pic:cNvPicPr>
                  </pic:nvPicPr>
                  <pic:blipFill>
                    <a:blip r:embed="rId13"/>
                    <a:stretch>
                      <a:fillRect/>
                    </a:stretch>
                  </pic:blipFill>
                  <pic:spPr bwMode="auto">
                    <a:xfrm>
                      <a:off x="0" y="0"/>
                      <a:ext cx="1285875" cy="514350"/>
                    </a:xfrm>
                    <a:prstGeom prst="rect">
                      <a:avLst/>
                    </a:prstGeom>
                  </pic:spPr>
                </pic:pic>
              </a:graphicData>
            </a:graphic>
          </wp:inline>
        </w:drawing>
      </w:r>
      <w:r>
        <w:rPr>
          <w:caps w:val="false"/>
          <w:smallCaps w:val="false"/>
          <w:color w:val="000000"/>
        </w:rPr>
        <w:t xml:space="preserve"> </w:t>
      </w:r>
    </w:p>
    <w:p>
      <w:pPr>
        <w:pStyle w:val="TextBody"/>
        <w:bidi w:val="0"/>
        <w:spacing w:lineRule="atLeast" w:line="320" w:before="3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$200,000,000</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320" w:before="12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 xml:space="preserve">Common Stock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 xml:space="preserve">Preferred Stock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 xml:space="preserve">Debt Securities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Warrants</w:t>
      </w:r>
      <w:r>
        <w:rPr>
          <w:rFonts w:ascii="Times New Roman;Times;serif" w:hAnsi="Times New Roman;Times;serif"/>
          <w:b/>
          <w:i w:val="false"/>
          <w:caps w:val="false"/>
          <w:smallCaps w:val="false"/>
          <w:color w:val="000000"/>
          <w:spacing w:val="6"/>
          <w:sz w:val="28"/>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24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time to time, we may offer and sell up to $200,000,000 of any combination of shares of our common stock, shares of our preferred stock, debt securities and warrants to purchase any of such securities, in one or more offerings as described in this prospectus. We may also offer securities as may be issuable upon conversion, redemption, repurchase, exchange or exercise of any securities registered hereunder, including any applicable antidilution provisions.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provides a general description of the securities we may offer. Each time we offer securities, we will specify in an accompanying prospectus supplement the terms of the securities being offered. We may also authorize one or more free writing prospectuses to be provided to you in connection with these offerings. The prospectus supplement and any related free writing prospectus may also add, update or change information contained in this prospectus. You should carefully read this prospectus, the applicable prospectus supplement and any related free writing prospectus, as well as any documents incorporated by reference, before you invest in any of the securities being offered.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 “smaller reporting company” under the federal securities laws and, as such, are subject to reduced public company reporting requirements. See “Summary — Implications of Being a Smaller Reporting Company.”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24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common stock is listed on the Nasdaq Capital Market (“Nasdaq”) under the symbol “TVRD.” On April 30, 2026, the last quoted sale price for our common stock as reported on Nasdaq was $3.15. The applicable prospectus supplement will contain information as to any other listing on Nasdaq or any securities market or other exchange of the securities, if any, covered by the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sell these securities directly to investors, through agents designated from time to time or to or through underwriters or dealers, on a continuous or delayed basis. For additional information on the methods of sale, you should refer to the section titled “Plan of Distribution” in this prospectus. If any agents or underwriters are involved in the sale of any securities with respect to which this prospectus is being delivered, the names of such agents or underwriters and any applicable fees, commissions, discounts or over-allotment options will be set forth in a prospectus supplement. The price to the public of such securities and the net proceeds we expect to receive from such sale will also be set forth in a prospectus supplement.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80" w:after="283"/>
        <w:ind w:left="1393" w:right="0" w:firstLine="400"/>
        <w:jc w:val="left"/>
        <w:rPr/>
      </w:pPr>
      <w:r>
        <w:rPr>
          <w:rFonts w:ascii="Times New Roman;Times;serif" w:hAnsi="Times New Roman;Times;serif"/>
          <w:b/>
          <w:i/>
          <w:caps w:val="false"/>
          <w:smallCaps w:val="false"/>
          <w:color w:val="000000"/>
          <w:spacing w:val="-4"/>
          <w:sz w:val="20"/>
        </w:rPr>
        <w:t xml:space="preserve">Investing in our securities involves a high degree of risk. You should carefully review the risks and uncertainties described under the heading “Risk Factors” on page </w:t>
      </w:r>
      <w:hyperlink w:anchor="sRIFA">
        <w:r>
          <w:rPr>
            <w:rStyle w:val="InternetLink"/>
          </w:rPr>
          <w:t>6</w:t>
        </w:r>
      </w:hyperlink>
      <w:r>
        <w:rPr>
          <w:rFonts w:ascii="Times New Roman;Times;serif" w:hAnsi="Times New Roman;Times;serif"/>
          <w:b/>
          <w:i/>
          <w:caps w:val="false"/>
          <w:smallCaps w:val="false"/>
          <w:color w:val="000000"/>
          <w:spacing w:val="-4"/>
          <w:sz w:val="20"/>
        </w:rPr>
        <w:t xml:space="preserve"> of this prospectus and contained in the applicable prospectus supplement and any related free writing prospectus, and under similar headings in the other documents that are incorporated by reference into this prospectus.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Neither the Securities and Exchange Commission nor any state securities commission has approved or disapproved of these securities or determined if this prospectus is truthful or complete. Any representation to the contrary is a criminal offense.</w:t>
      </w:r>
      <w:r>
        <w:rPr>
          <w:rFonts w:ascii="Times New Roman;Times;serif" w:hAnsi="Times New Roman;Times;serif"/>
          <w:b/>
          <w:i w:val="false"/>
          <w:caps w:val="false"/>
          <w:smallCaps w:val="false"/>
          <w:color w:val="000000"/>
          <w:spacing w:val="4"/>
          <w:sz w:val="20"/>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date of this prospectus is May 12, 2026.</w:t>
      </w:r>
      <w:r>
        <w:rPr>
          <w:rFonts w:ascii="Times New Roman;Times;serif" w:hAnsi="Times New Roman;Time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TOC3"/>
      <w:bookmarkEnd w:id="1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2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7703"/>
        <w:gridCol w:w="109"/>
        <w:gridCol w:w="109"/>
        <w:gridCol w:w="109"/>
        <w:gridCol w:w="109"/>
        <w:gridCol w:w="409"/>
        <w:gridCol w:w="109"/>
        <w:gridCol w:w="155"/>
      </w:tblGrid>
      <w:tr>
        <w:trPr/>
        <w:tc>
          <w:tcPr>
            <w:tcW w:w="770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36"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703" w:type="dxa"/>
            <w:tcBorders/>
            <w:shd w:fill="CCEEFF" w:val="clear"/>
            <w:tcMar>
              <w:bottom w:w="0" w:type="dxa"/>
            </w:tcMar>
            <w:vAlign w:val="center"/>
          </w:tcPr>
          <w:p>
            <w:pPr>
              <w:pStyle w:val="TableContents"/>
              <w:bidi w:val="0"/>
              <w:spacing w:before="0" w:after="0"/>
              <w:jc w:val="left"/>
              <w:rPr/>
            </w:pPr>
            <w:hyperlink w:anchor="sATP">
              <w:r>
                <w:rPr>
                  <w:rStyle w:val="InternetLink"/>
                  <w:spacing w:val="4"/>
                </w:rPr>
                <w:t xml:space="preserve">ABOUT THIS PROSPECTUS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9" w:type="dxa"/>
            <w:tcBorders/>
            <w:shd w:fill="CCEEFF" w:val="clear"/>
            <w:tcMar>
              <w:bottom w:w="0" w:type="dxa"/>
            </w:tcMar>
            <w:vAlign w:val="center"/>
          </w:tcPr>
          <w:p>
            <w:pPr>
              <w:pStyle w:val="TableContents"/>
              <w:bidi w:val="0"/>
              <w:spacing w:before="0" w:after="283"/>
              <w:jc w:val="right"/>
              <w:rPr/>
            </w:pPr>
            <w:hyperlink w:anchor="sATP">
              <w:r>
                <w:rPr>
                  <w:rStyle w:val="InternetLink"/>
                  <w:spacing w:val="4"/>
                </w:rPr>
                <w:t>ii</w:t>
              </w:r>
            </w:hyperlink>
            <w:hyperlink w:anchor="sAT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3" w:type="dxa"/>
            <w:tcBorders/>
            <w:tcMar>
              <w:bottom w:w="0" w:type="dxa"/>
            </w:tcMar>
            <w:vAlign w:val="center"/>
          </w:tcPr>
          <w:p>
            <w:pPr>
              <w:pStyle w:val="TableContents"/>
              <w:bidi w:val="0"/>
              <w:spacing w:before="0" w:after="0"/>
              <w:jc w:val="left"/>
              <w:rPr/>
            </w:pPr>
            <w:hyperlink w:anchor="sSUM">
              <w:r>
                <w:rPr>
                  <w:rStyle w:val="InternetLink"/>
                  <w:spacing w:val="4"/>
                </w:rPr>
                <w:t xml:space="preserve">SUMMARY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9" w:type="dxa"/>
            <w:tcBorders/>
            <w:tcMar>
              <w:bottom w:w="0" w:type="dxa"/>
            </w:tcMar>
            <w:vAlign w:val="center"/>
          </w:tcPr>
          <w:p>
            <w:pPr>
              <w:pStyle w:val="TableContents"/>
              <w:bidi w:val="0"/>
              <w:spacing w:before="0" w:after="283"/>
              <w:jc w:val="right"/>
              <w:rPr/>
            </w:pPr>
            <w:hyperlink w:anchor="sSUM">
              <w:r>
                <w:rPr>
                  <w:rStyle w:val="InternetLink"/>
                  <w:spacing w:val="4"/>
                </w:rPr>
                <w:t>1</w:t>
              </w:r>
            </w:hyperlink>
            <w:hyperlink w:anchor="sSUM">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3" w:type="dxa"/>
            <w:tcBorders/>
            <w:shd w:fill="CCEEFF" w:val="clear"/>
            <w:tcMar>
              <w:bottom w:w="0" w:type="dxa"/>
            </w:tcMar>
            <w:vAlign w:val="center"/>
          </w:tcPr>
          <w:p>
            <w:pPr>
              <w:pStyle w:val="TableContents"/>
              <w:bidi w:val="0"/>
              <w:spacing w:before="0" w:after="0"/>
              <w:jc w:val="left"/>
              <w:rPr/>
            </w:pPr>
            <w:hyperlink w:anchor="sRIFA">
              <w:r>
                <w:rPr>
                  <w:rStyle w:val="InternetLink"/>
                  <w:spacing w:val="4"/>
                </w:rPr>
                <w:t xml:space="preserve">RISK FACTORS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9" w:type="dxa"/>
            <w:tcBorders/>
            <w:shd w:fill="CCEEFF" w:val="clear"/>
            <w:tcMar>
              <w:bottom w:w="0" w:type="dxa"/>
            </w:tcMar>
            <w:vAlign w:val="center"/>
          </w:tcPr>
          <w:p>
            <w:pPr>
              <w:pStyle w:val="TableContents"/>
              <w:bidi w:val="0"/>
              <w:spacing w:before="0" w:after="283"/>
              <w:jc w:val="right"/>
              <w:rPr/>
            </w:pPr>
            <w:hyperlink w:anchor="sRIFA">
              <w:r>
                <w:rPr>
                  <w:rStyle w:val="InternetLink"/>
                  <w:spacing w:val="4"/>
                </w:rPr>
                <w:t>6</w:t>
              </w:r>
            </w:hyperlink>
            <w:hyperlink w:anchor="sRIF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3" w:type="dxa"/>
            <w:tcBorders/>
            <w:tcMar>
              <w:bottom w:w="0" w:type="dxa"/>
            </w:tcMar>
            <w:vAlign w:val="center"/>
          </w:tcPr>
          <w:p>
            <w:pPr>
              <w:pStyle w:val="TableContents"/>
              <w:bidi w:val="0"/>
              <w:spacing w:before="0" w:after="0"/>
              <w:jc w:val="left"/>
              <w:rPr/>
            </w:pPr>
            <w:hyperlink w:anchor="sSNRF">
              <w:r>
                <w:rPr>
                  <w:rStyle w:val="InternetLink"/>
                  <w:spacing w:val="4"/>
                </w:rPr>
                <w:t xml:space="preserve">SPECIAL NOTE REGARDING FORWARD-LOOKING STATEMENTS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9" w:type="dxa"/>
            <w:tcBorders/>
            <w:tcMar>
              <w:bottom w:w="0" w:type="dxa"/>
            </w:tcMar>
            <w:vAlign w:val="center"/>
          </w:tcPr>
          <w:p>
            <w:pPr>
              <w:pStyle w:val="TableContents"/>
              <w:bidi w:val="0"/>
              <w:spacing w:before="0" w:after="283"/>
              <w:jc w:val="right"/>
              <w:rPr/>
            </w:pPr>
            <w:hyperlink w:anchor="sSNRF">
              <w:r>
                <w:rPr>
                  <w:rStyle w:val="InternetLink"/>
                  <w:spacing w:val="4"/>
                </w:rPr>
                <w:t>7</w:t>
              </w:r>
            </w:hyperlink>
            <w:hyperlink w:anchor="sSNR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3" w:type="dxa"/>
            <w:tcBorders/>
            <w:shd w:fill="CCEEFF" w:val="clear"/>
            <w:tcMar>
              <w:bottom w:w="0" w:type="dxa"/>
            </w:tcMar>
            <w:vAlign w:val="center"/>
          </w:tcPr>
          <w:p>
            <w:pPr>
              <w:pStyle w:val="TableContents"/>
              <w:bidi w:val="0"/>
              <w:spacing w:before="0" w:after="0"/>
              <w:jc w:val="left"/>
              <w:rPr/>
            </w:pPr>
            <w:hyperlink w:anchor="sUOP">
              <w:r>
                <w:rPr>
                  <w:rStyle w:val="InternetLink"/>
                  <w:spacing w:val="4"/>
                </w:rPr>
                <w:t xml:space="preserve">USE OF PROCEEDS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9" w:type="dxa"/>
            <w:tcBorders/>
            <w:shd w:fill="CCEEFF" w:val="clear"/>
            <w:tcMar>
              <w:bottom w:w="0" w:type="dxa"/>
            </w:tcMar>
            <w:vAlign w:val="center"/>
          </w:tcPr>
          <w:p>
            <w:pPr>
              <w:pStyle w:val="TableContents"/>
              <w:bidi w:val="0"/>
              <w:spacing w:before="0" w:after="283"/>
              <w:jc w:val="right"/>
              <w:rPr/>
            </w:pPr>
            <w:hyperlink w:anchor="sUOP">
              <w:r>
                <w:rPr>
                  <w:rStyle w:val="InternetLink"/>
                  <w:spacing w:val="4"/>
                </w:rPr>
                <w:t>9</w:t>
              </w:r>
            </w:hyperlink>
            <w:hyperlink w:anchor="sUO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3" w:type="dxa"/>
            <w:tcBorders/>
            <w:tcMar>
              <w:bottom w:w="0" w:type="dxa"/>
            </w:tcMar>
            <w:vAlign w:val="center"/>
          </w:tcPr>
          <w:p>
            <w:pPr>
              <w:pStyle w:val="TableContents"/>
              <w:bidi w:val="0"/>
              <w:spacing w:before="0" w:after="0"/>
              <w:jc w:val="left"/>
              <w:rPr/>
            </w:pPr>
            <w:hyperlink w:anchor="sDOCS">
              <w:r>
                <w:rPr>
                  <w:rStyle w:val="InternetLink"/>
                  <w:spacing w:val="4"/>
                </w:rPr>
                <w:t xml:space="preserve">DESCRIPTION OF CAPITAL STOCK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9" w:type="dxa"/>
            <w:tcBorders/>
            <w:tcMar>
              <w:bottom w:w="0" w:type="dxa"/>
            </w:tcMar>
            <w:vAlign w:val="center"/>
          </w:tcPr>
          <w:p>
            <w:pPr>
              <w:pStyle w:val="TableContents"/>
              <w:bidi w:val="0"/>
              <w:spacing w:before="0" w:after="283"/>
              <w:jc w:val="right"/>
              <w:rPr/>
            </w:pPr>
            <w:hyperlink w:anchor="sDOCS">
              <w:r>
                <w:rPr>
                  <w:rStyle w:val="InternetLink"/>
                  <w:spacing w:val="4"/>
                </w:rPr>
                <w:t>10</w:t>
              </w:r>
            </w:hyperlink>
            <w:hyperlink w:anchor="sDOC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3" w:type="dxa"/>
            <w:tcBorders/>
            <w:shd w:fill="CCEEFF" w:val="clear"/>
            <w:tcMar>
              <w:bottom w:w="0" w:type="dxa"/>
            </w:tcMar>
            <w:vAlign w:val="center"/>
          </w:tcPr>
          <w:p>
            <w:pPr>
              <w:pStyle w:val="TableContents"/>
              <w:bidi w:val="0"/>
              <w:spacing w:before="0" w:after="0"/>
              <w:jc w:val="left"/>
              <w:rPr/>
            </w:pPr>
            <w:hyperlink w:anchor="sDODS">
              <w:r>
                <w:rPr>
                  <w:rStyle w:val="InternetLink"/>
                  <w:spacing w:val="4"/>
                </w:rPr>
                <w:t xml:space="preserve">DESCRIPTION OF DEBT SECURITIES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9" w:type="dxa"/>
            <w:tcBorders/>
            <w:shd w:fill="CCEEFF" w:val="clear"/>
            <w:tcMar>
              <w:bottom w:w="0" w:type="dxa"/>
            </w:tcMar>
            <w:vAlign w:val="center"/>
          </w:tcPr>
          <w:p>
            <w:pPr>
              <w:pStyle w:val="TableContents"/>
              <w:bidi w:val="0"/>
              <w:spacing w:before="0" w:after="283"/>
              <w:jc w:val="right"/>
              <w:rPr/>
            </w:pPr>
            <w:hyperlink w:anchor="sDODS">
              <w:r>
                <w:rPr>
                  <w:rStyle w:val="InternetLink"/>
                  <w:spacing w:val="4"/>
                </w:rPr>
                <w:t>15</w:t>
              </w:r>
            </w:hyperlink>
            <w:hyperlink w:anchor="sDOD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3" w:type="dxa"/>
            <w:tcBorders/>
            <w:tcMar>
              <w:bottom w:w="0" w:type="dxa"/>
            </w:tcMar>
            <w:vAlign w:val="center"/>
          </w:tcPr>
          <w:p>
            <w:pPr>
              <w:pStyle w:val="TableContents"/>
              <w:bidi w:val="0"/>
              <w:spacing w:before="0" w:after="0"/>
              <w:jc w:val="left"/>
              <w:rPr/>
            </w:pPr>
            <w:hyperlink w:anchor="sDOW">
              <w:r>
                <w:rPr>
                  <w:rStyle w:val="InternetLink"/>
                  <w:spacing w:val="4"/>
                </w:rPr>
                <w:t xml:space="preserve">DESCRIPTION OF WARRANTS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9" w:type="dxa"/>
            <w:tcBorders/>
            <w:tcMar>
              <w:bottom w:w="0" w:type="dxa"/>
            </w:tcMar>
            <w:vAlign w:val="center"/>
          </w:tcPr>
          <w:p>
            <w:pPr>
              <w:pStyle w:val="TableContents"/>
              <w:bidi w:val="0"/>
              <w:spacing w:before="0" w:after="283"/>
              <w:jc w:val="right"/>
              <w:rPr/>
            </w:pPr>
            <w:hyperlink w:anchor="sDOW">
              <w:r>
                <w:rPr>
                  <w:rStyle w:val="InternetLink"/>
                  <w:spacing w:val="4"/>
                </w:rPr>
                <w:t>22</w:t>
              </w:r>
            </w:hyperlink>
            <w:hyperlink w:anchor="sDOW">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3" w:type="dxa"/>
            <w:tcBorders/>
            <w:shd w:fill="CCEEFF" w:val="clear"/>
            <w:tcMar>
              <w:bottom w:w="0" w:type="dxa"/>
            </w:tcMar>
            <w:vAlign w:val="center"/>
          </w:tcPr>
          <w:p>
            <w:pPr>
              <w:pStyle w:val="TableContents"/>
              <w:bidi w:val="0"/>
              <w:spacing w:before="0" w:after="0"/>
              <w:jc w:val="left"/>
              <w:rPr/>
            </w:pPr>
            <w:hyperlink w:anchor="sLOOS">
              <w:r>
                <w:rPr>
                  <w:rStyle w:val="InternetLink"/>
                  <w:spacing w:val="4"/>
                </w:rPr>
                <w:t xml:space="preserve">LEGAL OWNERSHIP OF SECURITIES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9" w:type="dxa"/>
            <w:tcBorders/>
            <w:shd w:fill="CCEEFF" w:val="clear"/>
            <w:tcMar>
              <w:bottom w:w="0" w:type="dxa"/>
            </w:tcMar>
            <w:vAlign w:val="center"/>
          </w:tcPr>
          <w:p>
            <w:pPr>
              <w:pStyle w:val="TableContents"/>
              <w:bidi w:val="0"/>
              <w:spacing w:before="0" w:after="283"/>
              <w:jc w:val="right"/>
              <w:rPr/>
            </w:pPr>
            <w:hyperlink w:anchor="sLOOS">
              <w:r>
                <w:rPr>
                  <w:rStyle w:val="InternetLink"/>
                  <w:spacing w:val="4"/>
                </w:rPr>
                <w:t>24</w:t>
              </w:r>
            </w:hyperlink>
            <w:hyperlink w:anchor="sLOO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3" w:type="dxa"/>
            <w:tcBorders/>
            <w:tcMar>
              <w:bottom w:w="0" w:type="dxa"/>
            </w:tcMar>
            <w:vAlign w:val="center"/>
          </w:tcPr>
          <w:p>
            <w:pPr>
              <w:pStyle w:val="TableContents"/>
              <w:bidi w:val="0"/>
              <w:spacing w:before="0" w:after="0"/>
              <w:jc w:val="left"/>
              <w:rPr/>
            </w:pPr>
            <w:hyperlink w:anchor="sPOD">
              <w:r>
                <w:rPr>
                  <w:rStyle w:val="InternetLink"/>
                  <w:spacing w:val="4"/>
                </w:rPr>
                <w:t xml:space="preserve">PLAN OF DISTRIBUTION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9" w:type="dxa"/>
            <w:tcBorders/>
            <w:tcMar>
              <w:bottom w:w="0" w:type="dxa"/>
            </w:tcMar>
            <w:vAlign w:val="center"/>
          </w:tcPr>
          <w:p>
            <w:pPr>
              <w:pStyle w:val="TableContents"/>
              <w:bidi w:val="0"/>
              <w:spacing w:before="0" w:after="283"/>
              <w:jc w:val="right"/>
              <w:rPr/>
            </w:pPr>
            <w:hyperlink w:anchor="sPOD">
              <w:r>
                <w:rPr>
                  <w:rStyle w:val="InternetLink"/>
                  <w:spacing w:val="4"/>
                </w:rPr>
                <w:t>27</w:t>
              </w:r>
            </w:hyperlink>
            <w:hyperlink w:anchor="sPOD">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3" w:type="dxa"/>
            <w:tcBorders/>
            <w:shd w:fill="CCEEFF" w:val="clear"/>
            <w:tcMar>
              <w:bottom w:w="0" w:type="dxa"/>
            </w:tcMar>
            <w:vAlign w:val="center"/>
          </w:tcPr>
          <w:p>
            <w:pPr>
              <w:pStyle w:val="TableContents"/>
              <w:bidi w:val="0"/>
              <w:spacing w:before="0" w:after="0"/>
              <w:jc w:val="left"/>
              <w:rPr/>
            </w:pPr>
            <w:hyperlink w:anchor="sLEMA">
              <w:r>
                <w:rPr>
                  <w:rStyle w:val="InternetLink"/>
                  <w:spacing w:val="4"/>
                </w:rPr>
                <w:t xml:space="preserve">LEGAL MATTERS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9" w:type="dxa"/>
            <w:tcBorders/>
            <w:shd w:fill="CCEEFF" w:val="clear"/>
            <w:tcMar>
              <w:bottom w:w="0" w:type="dxa"/>
            </w:tcMar>
            <w:vAlign w:val="center"/>
          </w:tcPr>
          <w:p>
            <w:pPr>
              <w:pStyle w:val="TableContents"/>
              <w:bidi w:val="0"/>
              <w:spacing w:before="0" w:after="283"/>
              <w:jc w:val="right"/>
              <w:rPr/>
            </w:pPr>
            <w:hyperlink w:anchor="sLEMA">
              <w:r>
                <w:rPr>
                  <w:rStyle w:val="InternetLink"/>
                  <w:spacing w:val="4"/>
                </w:rPr>
                <w:t>29</w:t>
              </w:r>
            </w:hyperlink>
            <w:hyperlink w:anchor="sLEM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3" w:type="dxa"/>
            <w:tcBorders/>
            <w:tcMar>
              <w:bottom w:w="0" w:type="dxa"/>
            </w:tcMar>
            <w:vAlign w:val="center"/>
          </w:tcPr>
          <w:p>
            <w:pPr>
              <w:pStyle w:val="TableContents"/>
              <w:bidi w:val="0"/>
              <w:spacing w:before="0" w:after="0"/>
              <w:jc w:val="left"/>
              <w:rPr/>
            </w:pPr>
            <w:hyperlink w:anchor="sEXP">
              <w:r>
                <w:rPr>
                  <w:rStyle w:val="InternetLink"/>
                  <w:spacing w:val="4"/>
                </w:rPr>
                <w:t xml:space="preserve">EXPERTS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9" w:type="dxa"/>
            <w:tcBorders/>
            <w:tcMar>
              <w:bottom w:w="0" w:type="dxa"/>
            </w:tcMar>
            <w:vAlign w:val="center"/>
          </w:tcPr>
          <w:p>
            <w:pPr>
              <w:pStyle w:val="TableContents"/>
              <w:bidi w:val="0"/>
              <w:spacing w:before="0" w:after="283"/>
              <w:jc w:val="right"/>
              <w:rPr/>
            </w:pPr>
            <w:hyperlink w:anchor="sEXP">
              <w:r>
                <w:rPr>
                  <w:rStyle w:val="InternetLink"/>
                  <w:spacing w:val="4"/>
                </w:rPr>
                <w:t>29</w:t>
              </w:r>
            </w:hyperlink>
            <w:hyperlink w:anchor="sEX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3" w:type="dxa"/>
            <w:tcBorders/>
            <w:shd w:fill="CCEEFF" w:val="clear"/>
            <w:tcMar>
              <w:bottom w:w="0" w:type="dxa"/>
            </w:tcMar>
            <w:vAlign w:val="center"/>
          </w:tcPr>
          <w:p>
            <w:pPr>
              <w:pStyle w:val="TableContents"/>
              <w:bidi w:val="0"/>
              <w:spacing w:before="0" w:after="0"/>
              <w:jc w:val="left"/>
              <w:rPr/>
            </w:pPr>
            <w:hyperlink w:anchor="sWYCF">
              <w:r>
                <w:rPr>
                  <w:rStyle w:val="InternetLink"/>
                  <w:spacing w:val="4"/>
                </w:rPr>
                <w:t xml:space="preserve">WHERE YOU CAN FIND MORE INFORMATION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9" w:type="dxa"/>
            <w:tcBorders/>
            <w:shd w:fill="CCEEFF" w:val="clear"/>
            <w:tcMar>
              <w:bottom w:w="0" w:type="dxa"/>
            </w:tcMar>
            <w:vAlign w:val="center"/>
          </w:tcPr>
          <w:p>
            <w:pPr>
              <w:pStyle w:val="TableContents"/>
              <w:bidi w:val="0"/>
              <w:spacing w:before="0" w:after="283"/>
              <w:jc w:val="right"/>
              <w:rPr/>
            </w:pPr>
            <w:hyperlink w:anchor="sWYCF">
              <w:r>
                <w:rPr>
                  <w:rStyle w:val="InternetLink"/>
                  <w:spacing w:val="4"/>
                </w:rPr>
                <w:t>29</w:t>
              </w:r>
            </w:hyperlink>
            <w:hyperlink w:anchor="sWYC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3" w:type="dxa"/>
            <w:tcBorders/>
            <w:tcMar>
              <w:bottom w:w="0" w:type="dxa"/>
            </w:tcMar>
            <w:vAlign w:val="center"/>
          </w:tcPr>
          <w:p>
            <w:pPr>
              <w:pStyle w:val="TableContents"/>
              <w:bidi w:val="0"/>
              <w:spacing w:before="0" w:after="0"/>
              <w:jc w:val="left"/>
              <w:rPr/>
            </w:pPr>
            <w:hyperlink w:anchor="sIOCI">
              <w:r>
                <w:rPr>
                  <w:rStyle w:val="InternetLink"/>
                  <w:spacing w:val="4"/>
                </w:rPr>
                <w:t xml:space="preserve">INCORPORATION OF CERTAIN INFORMATION BY REFERENCE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9" w:type="dxa"/>
            <w:tcBorders/>
            <w:tcMar>
              <w:bottom w:w="0" w:type="dxa"/>
            </w:tcMar>
            <w:vAlign w:val="center"/>
          </w:tcPr>
          <w:p>
            <w:pPr>
              <w:pStyle w:val="TableContents"/>
              <w:bidi w:val="0"/>
              <w:spacing w:before="0" w:after="283"/>
              <w:jc w:val="right"/>
              <w:rPr/>
            </w:pPr>
            <w:hyperlink w:anchor="sIOCI">
              <w:r>
                <w:rPr>
                  <w:rStyle w:val="InternetLink"/>
                  <w:spacing w:val="4"/>
                </w:rPr>
                <w:t>30</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 w:name="sATP"/>
      <w:bookmarkEnd w:id="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a part of a registration statement on Form S-3 that we filed with the U.S. Securities and Exchange Commission (“SEC”) utilizing a “shelf” registration process. Under this shelf registration process, we may offer and sell, from time to time, in one or more offerings the securities described in this prospectus up to a total dollar amount of $200,000,000.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provides you with a general description of the securities we may offer. Each time we offer securities under this prospectus, we will provide a prospectus supplement that will contain specific information about the terms of these securities and offerings.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information contained in this prospectus or in any documents that we have incorporated by reference into this prospectus. You should read this prospectus, any applicable prospectus supplement and any related free writing prospectus, together with the information incorporated herein by reference as described under the heading “Incorporation of Certain Information by Reference,” before investing in any of the securities offered.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we, nor any agent, underwriter or dealer has authorized any person to give any information or to make any representation other than those contained or incorporated by reference in this prospectus, any applicable prospectus supplement or any related free writing prospectus prepared by or on behalf of us or to which we have referred you. This prospectus, any applicable supplement to this prospectus or any related free writing prospectus do not constitute an offer to sell or the solicitation of an offer to buy any securities other than the registered securities to which they relate, nor do this prospectus, any applicable supplement to this prospectus or any related free writing prospectus constitute an offer to sell or the solicitation of an offer to buy securities in any jurisdiction to any person to whom it is unlawful to make such offer or solicitation in such jurisdiction.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not assume that the information contained in this prospectus, any applicable prospectus supplement or any related free writing prospectus is accurate on any date subsequent to the date set forth on the front of the document or that any information we have incorporated by reference is correct on any date subsequent to the date of the document incorporated by reference, even though this prospectus, any applicable prospectus supplement or any related free writing prospectus is delivered, or securities are sold, on a later date.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“Where You Can Find More Information.”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obtained the industry and market data in this prospectus, including the information incorporated by reference herein, from our own research as well as from industry and general publications, surveys and studies conducted by third parties. These data involve a number of assumptions and limitations, and you are cautioned not to give undue weight to such estimates. In addition, projections, assumptions and estimates of our future performance and the future performance of the industry in which we operate is necessarily subject to a high degree of uncertainty and risk due to a variety of factors, including those described in “Risk Factors” and elsewhere in this prospectus, any related prospectus supplement, documents incorporated by reference into this prospectus and any related free writing prospectuses. These and other factors could cause results to differ materially from those expressed in the estimates made by the independent parties and by 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prospectus and any related prospectus supplement, including the information incorporated by reference into this prospectus and any related prospectus supplement, include trademarks, service marks and trade names owned by us or others. All trademarks, service marks and trade names included or incorporated by reference in this prospectus, any related prospectus supplement or any related free writing prospectuses are the property of their respective owners.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 w:name="sSUM"/>
      <w:bookmarkEnd w:id="1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SUMMARY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 xml:space="preserve">This summary highlights selected information from this prospectus and does not contain all of the information that you need to consider in making your investment decision. You should carefully read the entire prospectus, the applicable prospectus supplement and any related free writing prospectus, including the risks of investing in our securities discussed under the heading “Risk Factors” on page </w:t>
      </w:r>
      <w:hyperlink w:anchor="sRIFA">
        <w:r>
          <w:rPr>
            <w:rStyle w:val="InternetLink"/>
          </w:rPr>
          <w:t>6</w:t>
        </w:r>
      </w:hyperlink>
      <w:r>
        <w:rPr>
          <w:rFonts w:ascii="Times New Roman;Times;serif" w:hAnsi="Times New Roman;Times;serif"/>
          <w:b w:val="false"/>
          <w:i w:val="false"/>
          <w:caps w:val="false"/>
          <w:smallCaps w:val="false"/>
          <w:color w:val="000000"/>
          <w:spacing w:val="4"/>
          <w:sz w:val="20"/>
          <w:bdr w:val="single" w:sz="8" w:space="1" w:color="000000"/>
        </w:rPr>
        <w:t xml:space="preserve"> of this prospectus and contained in the applicable prospectus supplement and any related free writing prospectus, and under similar headings in the other documents that are incorporated by reference into this prospectus. You should also carefully read the information incorporated by reference into this prospectus, including our financial statements, and the exhibits to the registration statement of which this prospectus is a part.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Unless the context requires otherwise, references in this prospectus to the “Company,” “Tvardi,” “we,” “us” and “our” refer to Tvardi Therapeutics, Inc.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Company Overview</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are a clinical-stage biopharmaceutical company focused on the development of novel, oral, small molecule therapies targeting Signal Transducer and Activator of Transcription 3 (“STAT3”) to treat inflammatory and proliferative diseases with significant unmet need. Based upon our founders’ seminal work and deep understanding of the transcription factor STAT3, we have designed an innovative approach to directly inhibit STAT3, a highly validated, yet historically undruggable target. Leveraging this expertise, we are developing a pipeline of STAT3 inhibitors with a differentiated mechanism of action and convenient oral dosing.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pipeline includes two oral, small molecule STAT3 inhibitors: TTI-101 and TTI-109. TTI-101 is our first-generation direct STAT3 inhibitor, currently in Phase 1b/2 clinical development in hepatocellular carcinoma (“HCC”). TTI-109 is a phosphate prodrug of TTI-101 that is mechanistically identical to its parent molecule but is designed to enhance our ability to target STAT3. We have been developing TTI-109 for several years, based on our recognition that retaining the full STAT3 inhibition mechanism of TTI-101 while enhancing delivery would broaden the potential utility of our platform across inflammatory and proliferative indications. We filed an Investigational New Drug (“IND”) application for TTI-109 in June 2025 and, following FDA acceptance, initiated a Phase 1 trial in healthy volunteers evaluating safety, tolerability, pharmacokinetics, and bioequivalence to TTI-101. We expect to report topline data from this trial in the second quarter of 2026, after which we intend to announce the clinical indication in which we plan to advance TTI-109.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are currently enrolling patients in the REVERT LIVER CANCER Phase 1b/2 clinical trial of TTI-101 in patients with HCC. We have extended the timing of the anticipated data readout from the first half of 2026 to the second half of 2026 in order to allow the data to mature. This timing adjustment is intended to enhance the depth of insights from the program, including longitudinal and translational assessments, characterization of durability and dose optimization (including the addition of up to 15 participants in the monotherapy arm to explore modified dosages) to better inform subsequent development and regulatory strategy. The program otherwise continues to progress on schedule, and we believe the data package will strengthen decision-making and future development of our pipeline assets.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October 2025, we reported preliminary data from our REVERT IPF Phase 2 clinical trial of TTI-101 in idiopathic pulmonary fibrosis (“IPF”) and concluded that the study did not meet its goals. Subsequently, we conducted additional analyses of a subset of patients who received study drug for 12 weeks. Based on these analyses, which excluded certain patients due to dosing, pharmacokinetic, or clinical factors, treatment with TTI-101 demonstrated greater reductions in certain exploratory measures, including fibrosis and inflammatory markers, compared to placebo. These results are consistent with findings from multiple preclinical models of fibrotic disease and provide human clinical proof of concept for our STAT3 inhibition mechanism. We continue to evaluate these results to inform potential future development decisions.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approach is rooted in our expertise around STAT3’s functional composition and its critical role in disease pathogenesis, as well as other essential biological functions. Our co-founder, David J. Tweardy, M.D., was one of the first to identify that STAT3, when activated by phosphorylation on tyrosine (Y) residue 705 (pY-STAT3), acts as a central node across multiple inflammatory, proliferative and immune pathways.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460"/>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Intrinsically (within proliferative cells), pY-STAT3 enhances cell proliferation and survival, while extrinsically (within the immune system), pY-STAT3 contributes to immune dysregulation. Collectively, persistent pY-STAT3 drives the development and progression of inflammatory and proliferative diseases characterized by dysregulated STAT3 signaling. By targeting pY-STAT3, our approach is designed to simultaneously modulate key pathways of the inflammatory and proliferative cascade, whereas previous approaches only targeted single pathways. Beyond its role in inflammation and proliferation, STAT3 also has an essential role in cellular respiration in the mitochondria. Dr. Tweardy made the critical discovery that blocking pY-STAT3 could inhibit STAT3’s role as a transcription factor without affecting its role in the mitochondria. We have leveraged this discovery to design our product candidates to inhibit STAT3 activation which, we believe, will lead to disease modifying activity without impairing essential biological functions.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believe our oral small molecule STAT3 inhibitors have the potential for broad applicability across a diverse range of inflammatory and proliferative diseases driven by immune dysregulation, aberrant cytokine signaling, pathologic cellular proliferation, and maladaptive tissue remodeling. Across multiple preclinical models involving hematopoietic, gastrointestinal, dermatologic, respiratory organ specific tissue pathology, inhibition of STAT3 signaling has been associated with reductions in inflammatory burden, proliferation and improvement in disease relevant histological, molecular, and clinical parameters. Importantly, clinical data from the REVERT IPF trial, including observed reductions in IL-6 and improvements in fibrosis score, is consistent with preclinical observations, which we believe supports the translational validity of our platform.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Our Pipeline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current pipeline is depicted below: </w:t>
      </w:r>
    </w:p>
    <w:p>
      <w:pPr>
        <w:pStyle w:val="TextBody"/>
        <w:bidi w:val="0"/>
        <w:spacing w:before="200" w:after="283"/>
        <w:jc w:val="center"/>
        <w:rPr>
          <w:caps w:val="false"/>
          <w:smallCaps w:val="false"/>
          <w:color w:val="000000"/>
          <w:bdr w:val="single" w:sz="8" w:space="1" w:color="000000"/>
        </w:rPr>
      </w:pPr>
      <w:r>
        <w:rPr>
          <w:caps w:val="false"/>
          <w:smallCaps w:val="false"/>
          <w:color w:val="000000"/>
          <w:bdr w:val="single" w:sz="8" w:space="1" w:color="000000"/>
        </w:rPr>
        <w:drawing>
          <wp:inline distT="0" distB="0" distL="0" distR="0">
            <wp:extent cx="5029200" cy="2238375"/>
            <wp:effectExtent l="0" t="0" r="0" b="0"/>
            <wp:docPr id="4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 descr=""/>
                    <pic:cNvPicPr>
                      <a:picLocks noChangeAspect="1" noChangeArrowheads="1"/>
                    </pic:cNvPicPr>
                  </pic:nvPicPr>
                  <pic:blipFill>
                    <a:blip r:embed="rId14"/>
                    <a:stretch>
                      <a:fillRect/>
                    </a:stretch>
                  </pic:blipFill>
                  <pic:spPr bwMode="auto">
                    <a:xfrm>
                      <a:off x="0" y="0"/>
                      <a:ext cx="5029200" cy="2238375"/>
                    </a:xfrm>
                    <a:prstGeom prst="rect">
                      <a:avLst/>
                    </a:prstGeom>
                  </pic:spPr>
                </pic:pic>
              </a:graphicData>
            </a:graphic>
          </wp:inline>
        </w:drawing>
      </w:r>
      <w:r>
        <w:rPr>
          <w:caps w:val="false"/>
          <w:smallCaps w:val="false"/>
          <w:color w:val="000000"/>
          <w:bdr w:val="single" w:sz="8" w:space="1" w:color="000000"/>
        </w:rPr>
        <w:t xml:space="preserve"> </w:t>
      </w:r>
    </w:p>
    <w:p>
      <w:pPr>
        <w:pStyle w:val="TextBody"/>
        <w:bidi w:val="0"/>
        <w:spacing w:lineRule="atLeast" w:line="240" w:before="2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FDA has granted orphan drug designation for TTI-101 in both IPF and HCC as well as Fast-Track Designation for TTI-101 in HCC.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Corporate Information</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were originally incorporated in Delaware in July 2004 as Cara Therapeutics, Inc. (“Cara”). On April 15, 2025 (the “Closing Date”), Cara, now known as Tvardi Therapeutics, Inc., completed its previously announced merger with the Delaware corporation formerly known as Tvardi Therapeutics, Inc. (“Legacy Tvardi”) in accordance with the terms of the Agreement and Plan of Merger and Reorganization, dated as of December 17, 2024 (the “Merger Agreement”), by and among Cara, CT Convergence Merger Sub, Inc., a wholly owned subsidiary of Cara (“Merger Sub”), and Legacy Tvardi, pursuant to which Merger Sub merged with and into Legacy Tvardi, with Legacy Tvardi surviving the merger as a wholly owned subsidiary of Cara (the “Merger”). Also on April 15, 2025, Cara changed its name from “Cara Therapeutics, Inc.” to “Tvardi Therapeutics, Inc.”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Pursuant to the Merger Agreement, on the Closing Date, (i) Cara effected a 1-for-3 reverse stock split of its common stock (the “Reverse Stock Split”), (ii) Cara increased its authorized shares of common stock to 150,000,000, (iii) Merger Sub was merged with and into Legacy Tvardi and Legacy Tvardi became a wholly owned subsidiary of the Company, and (iv) the Company changed its name to “Tvardi Therapeutics, Inc.” As of the open of trading on April 16, 2025, the common stock of the Company began trading on Nasdaq under the symbol “TVRD.”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principal executive offices are located at 3 Sugar Creek Ctr. Blvd., Suite 525, Sugar Land, Texas 77478, and our telephone number is (713) 489-8654. Our website address is www.tvarditherapeutics.com. Information contained on or accessible through our website is not a part of this prospectus, the accompanying prospectus or any related free writing prospectus, and the inclusion of our website address in this prospectus is an inactive textual reference only.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This prospectus contains references to our trademarks and to trademarks belonging to other entities. Solely for convenience, trademarks and trade names referred to in this prospectus, including logos, artwork and other visual displays, may appear without the </w:t>
      </w:r>
      <w:r>
        <w:rPr>
          <w:rFonts w:ascii="Times New Roman;Times;serif" w:hAnsi="Times New Roman;Times;serif"/>
          <w:b w:val="false"/>
          <w:i w:val="false"/>
          <w:caps w:val="false"/>
          <w:smallCaps w:val="false"/>
          <w:color w:val="000000"/>
          <w:spacing w:val="3"/>
          <w:sz w:val="15"/>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xml:space="preserve"> or ™ symbols, but such references are not intended to indicate, in any way, that their respective owners will not assert, to the fullest extent under applicable law, their rights thereto. We do not intend our use or display of other companies’ trade names or trademarks to imply a relationship with, or endorsement or sponsorship of us by, any other companies.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Implications of Being a Smaller Reporting Company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are a “smaller reporting company” as defined in the Securities Exchange Act of 1934, as amended (the “Exchange Act”). Smaller reporting companies may take advantage of certain reduced disclosure obligations. Specifically, as a smaller reporting company we may choose to present only the two most recent fiscal years of audited financial statements in our Annual Report on Form 10-K and smaller reporting companies have reduced disclosure obligations regarding executive compensation and other matters. We may continue to be a smaller reporting company in any given year if either (i) the market value of our stock held by non-affiliates is less than $250 million as measured on the last business day of our most recently completed second fiscal quarter, or (ii) our annual revenue is less than $100 million during the most recently completed fiscal year and the market value of our stock held by non-affiliates is less than $700 million as measured on the last business day of our most recently completed second fiscal quarter.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As a result, the information that we provide to our stockholders may be different than what you might receive from other public reporting companies in which you hold equity interests.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The Securities We May Offer</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may offer shares of our common stock, shares of our preferred stock, debt securities and warrants to purchase any of such securities, from time to time in one or more offerings under this prospectus, together with any applicable prospectus supplement and any related free writing prospectus, at prices and on terms to be determined by market conditions at the time of the relevant offering. This prospectus provides you with a general description of the securities we may offer. Each time we offer a type or series of securities under this prospectus, we will provide a prospectus supplement that will describe the specific amounts, prices and other important terms of the securities, including, to the extent applicable: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designation or classification; </w:t>
      </w:r>
      <w:r>
        <mc:AlternateContent>
          <mc:Choice Requires="wps">
            <w:drawing>
              <wp:anchor behindDoc="0" distT="74930" distB="0" distL="254000" distR="0" simplePos="0" locked="0" layoutInCell="1" allowOverlap="1" relativeHeight="49">
                <wp:simplePos x="0" y="0"/>
                <wp:positionH relativeFrom="column">
                  <wp:align>left</wp:align>
                </wp:positionH>
                <wp:positionV relativeFrom="line">
                  <wp:align>top</wp:align>
                </wp:positionV>
                <wp:extent cx="127000" cy="350520"/>
                <wp:effectExtent l="0" t="0" r="0" b="0"/>
                <wp:wrapSquare wrapText="right"/>
                <wp:docPr id="47" name="Frame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aggregate principal amount or aggregate offering price; </w:t>
      </w:r>
      <w:r>
        <mc:AlternateContent>
          <mc:Choice Requires="wps">
            <w:drawing>
              <wp:anchor behindDoc="0" distT="74930" distB="0" distL="254000" distR="0" simplePos="0" locked="0" layoutInCell="1" allowOverlap="1" relativeHeight="50">
                <wp:simplePos x="0" y="0"/>
                <wp:positionH relativeFrom="column">
                  <wp:align>left</wp:align>
                </wp:positionH>
                <wp:positionV relativeFrom="line">
                  <wp:align>top</wp:align>
                </wp:positionV>
                <wp:extent cx="127000" cy="350520"/>
                <wp:effectExtent l="0" t="0" r="0" b="0"/>
                <wp:wrapSquare wrapText="right"/>
                <wp:docPr id="48" name="Frame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maturity, if applicable; </w:t>
      </w:r>
      <w:r>
        <mc:AlternateContent>
          <mc:Choice Requires="wps">
            <w:drawing>
              <wp:anchor behindDoc="0" distT="74930" distB="0" distL="254000" distR="0" simplePos="0" locked="0" layoutInCell="1" allowOverlap="1" relativeHeight="51">
                <wp:simplePos x="0" y="0"/>
                <wp:positionH relativeFrom="column">
                  <wp:align>left</wp:align>
                </wp:positionH>
                <wp:positionV relativeFrom="line">
                  <wp:align>top</wp:align>
                </wp:positionV>
                <wp:extent cx="127000" cy="350520"/>
                <wp:effectExtent l="0" t="0" r="0" b="0"/>
                <wp:wrapSquare wrapText="right"/>
                <wp:docPr id="49" name="Frame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original issue discount, if any; </w:t>
      </w:r>
      <w:r>
        <mc:AlternateContent>
          <mc:Choice Requires="wps">
            <w:drawing>
              <wp:anchor behindDoc="0" distT="74930" distB="0" distL="254000" distR="0" simplePos="0" locked="0" layoutInCell="1" allowOverlap="1" relativeHeight="52">
                <wp:simplePos x="0" y="0"/>
                <wp:positionH relativeFrom="column">
                  <wp:align>left</wp:align>
                </wp:positionH>
                <wp:positionV relativeFrom="line">
                  <wp:align>top</wp:align>
                </wp:positionV>
                <wp:extent cx="127000" cy="350520"/>
                <wp:effectExtent l="0" t="0" r="0" b="0"/>
                <wp:wrapSquare wrapText="right"/>
                <wp:docPr id="50" name="Frame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rates and times of payment of interest or dividends, if any; </w:t>
      </w:r>
      <w:r>
        <mc:AlternateContent>
          <mc:Choice Requires="wps">
            <w:drawing>
              <wp:anchor behindDoc="0" distT="74930" distB="0" distL="254000" distR="0" simplePos="0" locked="0" layoutInCell="1" allowOverlap="1" relativeHeight="53">
                <wp:simplePos x="0" y="0"/>
                <wp:positionH relativeFrom="column">
                  <wp:align>left</wp:align>
                </wp:positionH>
                <wp:positionV relativeFrom="line">
                  <wp:align>top</wp:align>
                </wp:positionV>
                <wp:extent cx="127000" cy="350520"/>
                <wp:effectExtent l="0" t="0" r="0" b="0"/>
                <wp:wrapSquare wrapText="right"/>
                <wp:docPr id="51" name="Frame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redemption, conversion, exchange or sinking fund terms, if any; </w:t>
      </w:r>
      <w:r>
        <mc:AlternateContent>
          <mc:Choice Requires="wps">
            <w:drawing>
              <wp:anchor behindDoc="0" distT="74930" distB="0" distL="254000" distR="0" simplePos="0" locked="0" layoutInCell="1" allowOverlap="1" relativeHeight="54">
                <wp:simplePos x="0" y="0"/>
                <wp:positionH relativeFrom="column">
                  <wp:align>left</wp:align>
                </wp:positionH>
                <wp:positionV relativeFrom="line">
                  <wp:align>top</wp:align>
                </wp:positionV>
                <wp:extent cx="127000" cy="350520"/>
                <wp:effectExtent l="0" t="0" r="0" b="0"/>
                <wp:wrapSquare wrapText="right"/>
                <wp:docPr id="52" name="Frame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conversion or exchange prices or rates, if any, and, if applicable, any provisions for changes to or adjustments in the conversion or exchange prices or rates and in the securities or other property receivable upon conversion or exchange; </w:t>
      </w:r>
      <w:r>
        <mc:AlternateContent>
          <mc:Choice Requires="wps">
            <w:drawing>
              <wp:anchor behindDoc="0" distT="74930" distB="0" distL="25400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right"/>
                <wp:docPr id="53" name="Frame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ranking, if applicable; </w:t>
      </w:r>
      <w:r>
        <mc:AlternateContent>
          <mc:Choice Requires="wps">
            <w:drawing>
              <wp:anchor behindDoc="0" distT="0" distB="0" distL="254000" distR="0" simplePos="0" locked="0" layoutInCell="1" allowOverlap="1" relativeHeight="56">
                <wp:simplePos x="0" y="0"/>
                <wp:positionH relativeFrom="column">
                  <wp:align>left</wp:align>
                </wp:positionH>
                <wp:positionV relativeFrom="line">
                  <wp:posOffset>635</wp:posOffset>
                </wp:positionV>
                <wp:extent cx="127000" cy="350520"/>
                <wp:effectExtent l="0" t="0" r="0" b="0"/>
                <wp:wrapSquare wrapText="right"/>
                <wp:docPr id="54" name="Frame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restrictive covenants, if any; </w:t>
      </w:r>
      <w:r>
        <mc:AlternateContent>
          <mc:Choice Requires="wps">
            <w:drawing>
              <wp:anchor behindDoc="0" distT="76200" distB="0" distL="254000" distR="0" simplePos="0" locked="0" layoutInCell="1" allowOverlap="1" relativeHeight="57">
                <wp:simplePos x="0" y="0"/>
                <wp:positionH relativeFrom="column">
                  <wp:align>left</wp:align>
                </wp:positionH>
                <wp:positionV relativeFrom="line">
                  <wp:align>top</wp:align>
                </wp:positionV>
                <wp:extent cx="127000" cy="350520"/>
                <wp:effectExtent l="0" t="0" r="0" b="0"/>
                <wp:wrapSquare wrapText="right"/>
                <wp:docPr id="55" name="Frame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voting or other rights, if any; and </w:t>
      </w:r>
      <w:r>
        <mc:AlternateContent>
          <mc:Choice Requires="wps">
            <w:drawing>
              <wp:anchor behindDoc="0" distT="76200" distB="0" distL="254000" distR="0" simplePos="0" locked="0" layoutInCell="1" allowOverlap="1" relativeHeight="58">
                <wp:simplePos x="0" y="0"/>
                <wp:positionH relativeFrom="column">
                  <wp:align>left</wp:align>
                </wp:positionH>
                <wp:positionV relativeFrom="line">
                  <wp:align>top</wp:align>
                </wp:positionV>
                <wp:extent cx="127000" cy="350520"/>
                <wp:effectExtent l="0" t="0" r="0" b="0"/>
                <wp:wrapSquare wrapText="right"/>
                <wp:docPr id="56" name="Frame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important U.S. federal income tax considerations. </w:t>
      </w:r>
      <w:r>
        <mc:AlternateContent>
          <mc:Choice Requires="wps">
            <w:drawing>
              <wp:anchor behindDoc="0" distT="76200" distB="0" distL="254000" distR="0" simplePos="0" locked="0" layoutInCell="1" allowOverlap="1" relativeHeight="59">
                <wp:simplePos x="0" y="0"/>
                <wp:positionH relativeFrom="column">
                  <wp:align>left</wp:align>
                </wp:positionH>
                <wp:positionV relativeFrom="line">
                  <wp:align>top</wp:align>
                </wp:positionV>
                <wp:extent cx="127000" cy="350520"/>
                <wp:effectExtent l="0" t="0" r="0" b="0"/>
                <wp:wrapSquare wrapText="right"/>
                <wp:docPr id="57" name="Frame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prospectus supplement and any related free writing prospectus that we may authorize to be provided to you may also add, update or change information contained in this prospectus or in documents we have incorporated by reference. However, no prospectus supplement or free writing prospectus will offer a security that is not registered and described in this prospectus at the time of the effectiveness of the registration statement of which this prospectus is a part.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may sell the securities directly to investors or through underwriters, dealers or agents. We, and our underwriters or agents, reserve the right to accept or reject all or part of any proposed purchase of securities. If we do offer securities through underwriters or agents, we will include in the applicable prospectus supplement: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names of those underwriters or agents; </w:t>
      </w:r>
      <w:r>
        <mc:AlternateContent>
          <mc:Choice Requires="wps">
            <w:drawing>
              <wp:anchor behindDoc="0" distT="76200" distB="0" distL="254000" distR="0" simplePos="0" locked="0" layoutInCell="1" allowOverlap="1" relativeHeight="60">
                <wp:simplePos x="0" y="0"/>
                <wp:positionH relativeFrom="column">
                  <wp:align>left</wp:align>
                </wp:positionH>
                <wp:positionV relativeFrom="line">
                  <wp:align>top</wp:align>
                </wp:positionV>
                <wp:extent cx="127000" cy="350520"/>
                <wp:effectExtent l="0" t="0" r="0" b="0"/>
                <wp:wrapSquare wrapText="right"/>
                <wp:docPr id="58" name="Frame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applicable fees, discounts and commissions to be paid to them; </w:t>
      </w:r>
      <w:r>
        <mc:AlternateContent>
          <mc:Choice Requires="wps">
            <w:drawing>
              <wp:anchor behindDoc="0" distT="76200" distB="0" distL="254000" distR="0" simplePos="0" locked="0" layoutInCell="1" allowOverlap="1" relativeHeight="61">
                <wp:simplePos x="0" y="0"/>
                <wp:positionH relativeFrom="column">
                  <wp:align>left</wp:align>
                </wp:positionH>
                <wp:positionV relativeFrom="line">
                  <wp:align>top</wp:align>
                </wp:positionV>
                <wp:extent cx="127000" cy="350520"/>
                <wp:effectExtent l="0" t="0" r="0" b="0"/>
                <wp:wrapSquare wrapText="right"/>
                <wp:docPr id="59" name="Frame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details regarding over-allotment options, if any; and </w:t>
      </w:r>
      <w:r>
        <mc:AlternateContent>
          <mc:Choice Requires="wps">
            <w:drawing>
              <wp:anchor behindDoc="0" distT="76200" distB="0" distL="254000" distR="0" simplePos="0" locked="0" layoutInCell="1" allowOverlap="1" relativeHeight="62">
                <wp:simplePos x="0" y="0"/>
                <wp:positionH relativeFrom="column">
                  <wp:align>left</wp:align>
                </wp:positionH>
                <wp:positionV relativeFrom="line">
                  <wp:align>top</wp:align>
                </wp:positionV>
                <wp:extent cx="127000" cy="350520"/>
                <wp:effectExtent l="0" t="0" r="0" b="0"/>
                <wp:wrapSquare wrapText="right"/>
                <wp:docPr id="60" name="Frame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estimated net proceeds to us. </w:t>
      </w:r>
      <w:r>
        <mc:AlternateContent>
          <mc:Choice Requires="wps">
            <w:drawing>
              <wp:anchor behindDoc="0" distT="76200" distB="0" distL="254000" distR="0" simplePos="0" locked="0" layoutInCell="1" allowOverlap="1" relativeHeight="63">
                <wp:simplePos x="0" y="0"/>
                <wp:positionH relativeFrom="column">
                  <wp:align>left</wp:align>
                </wp:positionH>
                <wp:positionV relativeFrom="line">
                  <wp:align>top</wp:align>
                </wp:positionV>
                <wp:extent cx="127000" cy="350520"/>
                <wp:effectExtent l="0" t="0" r="0" b="0"/>
                <wp:wrapSquare wrapText="right"/>
                <wp:docPr id="61" name="Frame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Common Stock.</w:t>
      </w:r>
      <w:r>
        <w:rPr>
          <w:rFonts w:ascii="Times New Roman;Times;serif" w:hAnsi="Times New Roman;Times;serif"/>
          <w:b w:val="false"/>
          <w:i w:val="false"/>
          <w:caps w:val="false"/>
          <w:smallCaps w:val="false"/>
          <w:color w:val="000000"/>
          <w:spacing w:val="4"/>
          <w:sz w:val="20"/>
          <w:bdr w:val="single" w:sz="8" w:space="1" w:color="000000"/>
        </w:rPr>
        <w:t xml:space="preserve">   We may issue shares of our common stock from time to time. Holders of our common stock are entitled to one vote per share for the election of directors and on all other matters that require stockholder approval. Subject to any preferential rights of any then outstanding preferred stock, in the event of our liquidation, dissolution or winding up, holders of our common stock are entitled to share ratably in the assets remaining after payment of liabilities and the liquidation preferences of any then outstanding preferred stock. Our common stock does not carry any preemptive rights enabling a holder to subscribe for, or receive shares of, any class of our common stock or any other securities convertible into shares of any class of our common stock, or any redemption rights.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Preferred Stock.</w:t>
      </w:r>
      <w:r>
        <w:rPr>
          <w:rFonts w:ascii="Times New Roman;Times;serif" w:hAnsi="Times New Roman;Times;serif"/>
          <w:b w:val="false"/>
          <w:i w:val="false"/>
          <w:caps w:val="false"/>
          <w:smallCaps w:val="false"/>
          <w:color w:val="000000"/>
          <w:spacing w:val="4"/>
          <w:sz w:val="20"/>
          <w:bdr w:val="single" w:sz="8" w:space="1" w:color="000000"/>
        </w:rPr>
        <w:t xml:space="preserve">   We may issue shares of our preferred stock from time to time, in one or more series. Under our amended and restated certificate of incorporation, our board of directors has the authority, without further action by stockholders, to issue up to 5,000,000 shares of preferred stock in one or more series and to fix the rights, preferences, privileges, qualifications and restrictions granted to or imposed upon the preferred stock, including dividend rights, conversion rights, voting rights, rights and terms of redemption, liquidation preference and sinking fund terms, any or all of which may be greater than the rights of the common stock. To date, none of the 5,000,000 authorized shares of preferred stock have been issued by our board of directors. Convertible preferred stock will be convertible into our common stock or exchangeable for our other securities. Conversion may be mandatory or at the option of the holders of our preferred stock and would be at prescribed conversion rates.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will fix the rights, preferences, privileges, qualifications and restrictions of the preferred stock of each series that we sell under this prospectus and applicable prospectus supplements in the certificate of designation relating to that series. We will incorporate by reference into the registration statement of which this prospectus is a part the form of any certificate of designation that describes the terms of the series of preferred stock we are offering before the issuance of the related series of preferred stock. We urge you, however, to read the applicable prospectus supplement (and any related free writing prospectus that we may authorize to be provided to you) related to the series of preferred stock being offered, as well as the complete certificate of designation that contains the terms of the applicable series of preferred stock.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Debt Securities.</w:t>
      </w:r>
      <w:r>
        <w:rPr>
          <w:rFonts w:ascii="Times New Roman;Times;serif" w:hAnsi="Times New Roman;Times;serif"/>
          <w:b w:val="false"/>
          <w:i w:val="false"/>
          <w:caps w:val="false"/>
          <w:smallCaps w:val="false"/>
          <w:color w:val="000000"/>
          <w:spacing w:val="4"/>
          <w:sz w:val="20"/>
          <w:bdr w:val="single" w:sz="8" w:space="1" w:color="000000"/>
        </w:rPr>
        <w:t xml:space="preserve">   We may issue debt securities from time to time, in one or more series, as either senior or subordinated debt or as senior or subordinated convertible debt. The senior debt securities will rank equally with any other unsecured and unsubordinated debt. The subordinated debt securities will be subordinate and junior in right of payment, to the extent and in the manner described in the instrument governing the debt, to all of our senior indebtedness. Convertible debt securities will be convertible into our common stock or preferred stock. Conversion may be mandatory or at the holder’s option and would be at prescribed conversion rates.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debt securities will be issued under one or more documents called indentures, which are contracts between us and a national banking association or other eligible party, as trustee. In this prospectus, we have summarized certain general features of the debt securities. We urge you, however, to read the applicable prospectus supplement (and any free writing prospectus that we may authorize to be provided to you) related to the series of debt securities being offered, as well as the complete indentures that contain the terms of the debt securities. A form of indenture has been filed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Warrants.</w:t>
      </w:r>
      <w:r>
        <w:rPr>
          <w:rFonts w:ascii="Times New Roman;Times;serif" w:hAnsi="Times New Roman;Times;serif"/>
          <w:b w:val="false"/>
          <w:i w:val="false"/>
          <w:caps w:val="false"/>
          <w:smallCaps w:val="false"/>
          <w:color w:val="000000"/>
          <w:spacing w:val="4"/>
          <w:sz w:val="20"/>
          <w:bdr w:val="single" w:sz="8" w:space="1" w:color="000000"/>
        </w:rPr>
        <w:t xml:space="preserve">   We may issue warrants for the purchase of common stock, preferred stock and/or debt securities in one or more series. We may issue warrants independently or together with common stock, preferred stock and/or debt securities, and the warrants may be attached to or separate from these securities. In this prospectus, we have summarized certain general features of the warrants. We urge you, however, to read the applicable prospectus supplement (and any free writing prospectus that we may authorize to be provided to you) related to the particular series of warrants being offered, as well as the complete warrant agreements and warrant certificates that contain the terms of the warrants. Forms of the warrant agreements and forms of warrant certificates containing the terms of the warrants being offered have been filed as exhibits to the registration statement of which this prospectus is a part, and supplemental warrant agreements and forms of warrant certificates will be filed as exhibits to the registration statement of which this prospectus is a part or will be incorporated by reference from reports that we file with the SEC.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will evidence each series of warrants by warrant certificates that we will issue. Warrants may be issued under an applicable warrant agreement that we enter into with a warrant agent. We will indicate the name and address of the warrant agent, if applicable, in the prospectus supplement relating to the particular series of warrants being offered.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Use of Proceeds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Except as described in any applicable prospectus supplement or in any free writing prospectuses we have authorized for use in connection with a specific offering, we currently intend to use the net proceeds from the sale of the securities offered by us hereunder, if any, for general corporate purposes, including clinical trial expenses, research and development expenses, general and administrative expenses, and capital expenditures, or for any other purpose we describe in the applicable prospectus supplement. See the section entitled “Use of Proceeds” in this prospectus.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Nasdaq Capital Market Listing</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Our common stock is listed on Nasdaq under the symbol “TVRD.” The applicable prospectus supplement will contain information as to any other listing on Nasdaq or any securities market or other exchange of the securities, if any, covered by the prospectus supplement.</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 w:name="sRIFA"/>
      <w:bookmarkEnd w:id="1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5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Investing in our securities involves a high degree of risk. You should carefully review the risks and uncertainties described under the heading “Risk Factors” contained in the applicable prospectus supplement and any related free writing prospectus, and under similar headings in our most recent Annual Report on Form 10-K and in our subsequent Quarterly Reports on Form 10-Q, and other reports and documents that are incorporated by reference into this prospectus and the applicable prospectus supplement, before deciding whether to purchase any of the securities being registered pursuant to the registration statement of which this prospectus is a part. Each of the risk factors could adversely affect our business, operating results and financial condition, as well as adversely affect the value of an investment in our securities, and the occurrence of any of these risks might cause you to lose all or part of your investment. Additional risks not presently known to us or that we currently believe are immaterial may also significantly impair our business operations.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 w:name="sSNRF"/>
      <w:bookmarkEnd w:id="1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SPECIAL NOTE REGARDING 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Statements contained in this prospectus, the applicable prospectus supplement and in the documents incorporated by reference herein and therein that are not strictly historical in nature are forward-looking statements within the meaning of Section 27A of the Securities Act of 1933, as amended (the “Securities Act”), and within the meaning of Section 21E of the Exchange Act. These forward-looking statements are subject to the “safe harbor” created by Section 27A of the Securities Act and Section 21E of the Exchange Act and may include, but are not limited to, statements about our strategy, future financial condition, future operations, research and development, ongoing and planned clinical trials and preclinical studies, the timing and likelihood of regulatory filings and approvals for our product candidates, our ability to commercialize our product candidates, the potential benefits of collaborations, projected costs, prospects, plans, objectives of management and expected market growth. In some cases, you can identify forward-looking statements by terms such as “aim,” “anticipate,” “believe,” “continue,” “could,” “estimate,” “expect,” “intend,” “may,” “might,” “objective,” “ongoing,” “plan,” “predict,” “project,” “potential,” “seek,” “should,” “will,” or “would,” the negative of these words and words or similar expressions intended to identify forward-looking statements. These forward-looking statements include, but are not limited to, statements concerning the following: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continue as a going concern; </w:t>
      </w:r>
      <w:r>
        <mc:AlternateContent>
          <mc:Choice Requires="wps">
            <w:drawing>
              <wp:anchor behindDoc="0" distT="73660" distB="0" distL="254000" distR="0" simplePos="0" locked="0" layoutInCell="1" allowOverlap="1" relativeHeight="64">
                <wp:simplePos x="0" y="0"/>
                <wp:positionH relativeFrom="column">
                  <wp:align>left</wp:align>
                </wp:positionH>
                <wp:positionV relativeFrom="line">
                  <wp:align>top</wp:align>
                </wp:positionV>
                <wp:extent cx="127000" cy="350520"/>
                <wp:effectExtent l="0" t="0" r="0" b="0"/>
                <wp:wrapSquare wrapText="right"/>
                <wp:docPr id="62" name="Frame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expectations surrounding the potential safety, efficacy, and regulatory and clinical progress of our product candidates, including TTI-101 and TTI-109, and anticipated milestones and timing therefor; </w:t>
      </w:r>
      <w:r>
        <mc:AlternateContent>
          <mc:Choice Requires="wps">
            <w:drawing>
              <wp:anchor behindDoc="0" distT="66040" distB="0" distL="254000" distR="0" simplePos="0" locked="0" layoutInCell="1" allowOverlap="1" relativeHeight="65">
                <wp:simplePos x="0" y="0"/>
                <wp:positionH relativeFrom="column">
                  <wp:align>left</wp:align>
                </wp:positionH>
                <wp:positionV relativeFrom="line">
                  <wp:align>top</wp:align>
                </wp:positionV>
                <wp:extent cx="127000" cy="350520"/>
                <wp:effectExtent l="0" t="0" r="0" b="0"/>
                <wp:wrapSquare wrapText="right"/>
                <wp:docPr id="63" name="Frame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plans to develop and commercialize our product candidates or any potential future product candidates; </w:t>
      </w:r>
      <w:r>
        <mc:AlternateContent>
          <mc:Choice Requires="wps">
            <w:drawing>
              <wp:anchor behindDoc="0" distT="66040" distB="0" distL="254000" distR="0" simplePos="0" locked="0" layoutInCell="1" allowOverlap="1" relativeHeight="66">
                <wp:simplePos x="0" y="0"/>
                <wp:positionH relativeFrom="column">
                  <wp:align>left</wp:align>
                </wp:positionH>
                <wp:positionV relativeFrom="line">
                  <wp:align>top</wp:align>
                </wp:positionV>
                <wp:extent cx="127000" cy="350520"/>
                <wp:effectExtent l="0" t="0" r="0" b="0"/>
                <wp:wrapSquare wrapText="right"/>
                <wp:docPr id="64" name="Frame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potential results of preclinical studies and clinical trials and future regulatory and development milestones for our product candidates or any potential future product candidates; </w:t>
      </w:r>
      <w:r>
        <mc:AlternateContent>
          <mc:Choice Requires="wps">
            <w:drawing>
              <wp:anchor behindDoc="0" distT="66040" distB="0" distL="254000" distR="0" simplePos="0" locked="0" layoutInCell="1" allowOverlap="1" relativeHeight="67">
                <wp:simplePos x="0" y="0"/>
                <wp:positionH relativeFrom="column">
                  <wp:align>left</wp:align>
                </wp:positionH>
                <wp:positionV relativeFrom="line">
                  <wp:align>top</wp:align>
                </wp:positionV>
                <wp:extent cx="127000" cy="350520"/>
                <wp:effectExtent l="0" t="0" r="0" b="0"/>
                <wp:wrapSquare wrapText="right"/>
                <wp:docPr id="65" name="Frame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performance of third-party manufacturers, clinical research organizations (CROs), and other vendors; </w:t>
      </w:r>
      <w:r>
        <mc:AlternateContent>
          <mc:Choice Requires="wps">
            <w:drawing>
              <wp:anchor behindDoc="0" distT="66040" distB="0" distL="254000" distR="0" simplePos="0" locked="0" layoutInCell="1" allowOverlap="1" relativeHeight="68">
                <wp:simplePos x="0" y="0"/>
                <wp:positionH relativeFrom="column">
                  <wp:align>left</wp:align>
                </wp:positionH>
                <wp:positionV relativeFrom="line">
                  <wp:align>top</wp:align>
                </wp:positionV>
                <wp:extent cx="127000" cy="350520"/>
                <wp:effectExtent l="0" t="0" r="0" b="0"/>
                <wp:wrapSquare wrapText="right"/>
                <wp:docPr id="66" name="Frame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realize the anticipated benefits of the Merger; </w:t>
      </w:r>
      <w:r>
        <mc:AlternateContent>
          <mc:Choice Requires="wps">
            <w:drawing>
              <wp:anchor behindDoc="0" distT="66040" distB="0" distL="254000" distR="0" simplePos="0" locked="0" layoutInCell="1" allowOverlap="1" relativeHeight="69">
                <wp:simplePos x="0" y="0"/>
                <wp:positionH relativeFrom="column">
                  <wp:align>left</wp:align>
                </wp:positionH>
                <wp:positionV relativeFrom="line">
                  <wp:align>top</wp:align>
                </wp:positionV>
                <wp:extent cx="127000" cy="350520"/>
                <wp:effectExtent l="0" t="0" r="0" b="0"/>
                <wp:wrapSquare wrapText="right"/>
                <wp:docPr id="67" name="Frame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maintain compliance with Nasdaq listing requirements; </w:t>
      </w:r>
      <w:r>
        <mc:AlternateContent>
          <mc:Choice Requires="wps">
            <w:drawing>
              <wp:anchor behindDoc="0" distT="64770" distB="0" distL="254000" distR="0" simplePos="0" locked="0" layoutInCell="1" allowOverlap="1" relativeHeight="70">
                <wp:simplePos x="0" y="0"/>
                <wp:positionH relativeFrom="column">
                  <wp:align>left</wp:align>
                </wp:positionH>
                <wp:positionV relativeFrom="line">
                  <wp:align>top</wp:align>
                </wp:positionV>
                <wp:extent cx="127000" cy="350520"/>
                <wp:effectExtent l="0" t="0" r="0" b="0"/>
                <wp:wrapSquare wrapText="right"/>
                <wp:docPr id="68" name="Frame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size and growth of the potential markets for our product candidates; </w:t>
      </w:r>
      <w:r>
        <mc:AlternateContent>
          <mc:Choice Requires="wps">
            <w:drawing>
              <wp:anchor behindDoc="0" distT="64770" distB="0" distL="254000" distR="0" simplePos="0" locked="0" layoutInCell="1" allowOverlap="1" relativeHeight="71">
                <wp:simplePos x="0" y="0"/>
                <wp:positionH relativeFrom="column">
                  <wp:align>left</wp:align>
                </wp:positionH>
                <wp:positionV relativeFrom="line">
                  <wp:align>top</wp:align>
                </wp:positionV>
                <wp:extent cx="127000" cy="350520"/>
                <wp:effectExtent l="0" t="0" r="0" b="0"/>
                <wp:wrapSquare wrapText="right"/>
                <wp:docPr id="69" name="Frame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rate and degree of market acceptance of any other future approved indications or products; </w:t>
      </w:r>
      <w:r>
        <mc:AlternateContent>
          <mc:Choice Requires="wps">
            <w:drawing>
              <wp:anchor behindDoc="0" distT="64770" distB="0" distL="254000" distR="0" simplePos="0" locked="0" layoutInCell="1" allowOverlap="1" relativeHeight="72">
                <wp:simplePos x="0" y="0"/>
                <wp:positionH relativeFrom="column">
                  <wp:align>left</wp:align>
                </wp:positionH>
                <wp:positionV relativeFrom="line">
                  <wp:align>top</wp:align>
                </wp:positionV>
                <wp:extent cx="127000" cy="350520"/>
                <wp:effectExtent l="0" t="0" r="0" b="0"/>
                <wp:wrapSquare wrapText="right"/>
                <wp:docPr id="70" name="Frame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obtain and maintain additional regulatory approval of our product candidates or any future product candidates, and the labeling under any approval we may obtain; </w:t>
      </w:r>
      <w:r>
        <mc:AlternateContent>
          <mc:Choice Requires="wps">
            <w:drawing>
              <wp:anchor behindDoc="0" distT="64770" distB="0" distL="254000" distR="0" simplePos="0" locked="0" layoutInCell="1" allowOverlap="1" relativeHeight="73">
                <wp:simplePos x="0" y="0"/>
                <wp:positionH relativeFrom="column">
                  <wp:align>left</wp:align>
                </wp:positionH>
                <wp:positionV relativeFrom="line">
                  <wp:align>top</wp:align>
                </wp:positionV>
                <wp:extent cx="127000" cy="350520"/>
                <wp:effectExtent l="0" t="0" r="0" b="0"/>
                <wp:wrapSquare wrapText="right"/>
                <wp:docPr id="71" name="Frame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maintain existing and establish additional collaborations for our product candidates or future product candidates; </w:t>
      </w:r>
      <w:r>
        <mc:AlternateContent>
          <mc:Choice Requires="wps">
            <w:drawing>
              <wp:anchor behindDoc="0" distT="64770" distB="0" distL="254000" distR="0" simplePos="0" locked="0" layoutInCell="1" allowOverlap="1" relativeHeight="74">
                <wp:simplePos x="0" y="0"/>
                <wp:positionH relativeFrom="column">
                  <wp:align>left</wp:align>
                </wp:positionH>
                <wp:positionV relativeFrom="line">
                  <wp:align>top</wp:align>
                </wp:positionV>
                <wp:extent cx="127000" cy="350520"/>
                <wp:effectExtent l="0" t="0" r="0" b="0"/>
                <wp:wrapSquare wrapText="right"/>
                <wp:docPr id="72" name="Frame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continued service of our key scientific or management personnel; </w:t>
      </w:r>
      <w:r>
        <mc:AlternateContent>
          <mc:Choice Requires="wps">
            <w:drawing>
              <wp:anchor behindDoc="0" distT="64770" distB="0" distL="254000" distR="0" simplePos="0" locked="0" layoutInCell="1" allowOverlap="1" relativeHeight="75">
                <wp:simplePos x="0" y="0"/>
                <wp:positionH relativeFrom="column">
                  <wp:align>left</wp:align>
                </wp:positionH>
                <wp:positionV relativeFrom="line">
                  <wp:align>top</wp:align>
                </wp:positionV>
                <wp:extent cx="127000" cy="350520"/>
                <wp:effectExtent l="0" t="0" r="0" b="0"/>
                <wp:wrapSquare wrapText="right"/>
                <wp:docPr id="73" name="Frame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establish commercialization and marketing capabilities for any future approved products; </w:t>
      </w:r>
      <w:r>
        <mc:AlternateContent>
          <mc:Choice Requires="wps">
            <w:drawing>
              <wp:anchor behindDoc="0" distT="64770" distB="0" distL="254000" distR="0" simplePos="0" locked="0" layoutInCell="1" allowOverlap="1" relativeHeight="76">
                <wp:simplePos x="0" y="0"/>
                <wp:positionH relativeFrom="column">
                  <wp:align>left</wp:align>
                </wp:positionH>
                <wp:positionV relativeFrom="line">
                  <wp:align>top</wp:align>
                </wp:positionV>
                <wp:extent cx="127000" cy="350520"/>
                <wp:effectExtent l="0" t="0" r="0" b="0"/>
                <wp:wrapSquare wrapText="right"/>
                <wp:docPr id="74" name="Frame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regulatory developments in the United States and foreign countries; </w:t>
      </w:r>
      <w:r>
        <mc:AlternateContent>
          <mc:Choice Requires="wps">
            <w:drawing>
              <wp:anchor behindDoc="0" distT="64770" distB="0" distL="254000" distR="0" simplePos="0" locked="0" layoutInCell="1" allowOverlap="1" relativeHeight="77">
                <wp:simplePos x="0" y="0"/>
                <wp:positionH relativeFrom="column">
                  <wp:align>left</wp:align>
                </wp:positionH>
                <wp:positionV relativeFrom="line">
                  <wp:align>top</wp:align>
                </wp:positionV>
                <wp:extent cx="127000" cy="350520"/>
                <wp:effectExtent l="0" t="0" r="0" b="0"/>
                <wp:wrapSquare wrapText="right"/>
                <wp:docPr id="75" name="Frame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obtain and maintain coverage and adequate reimbursement from third-party payers and governments for any other future approved indications or products; </w:t>
      </w:r>
      <w:r>
        <mc:AlternateContent>
          <mc:Choice Requires="wps">
            <w:drawing>
              <wp:anchor behindDoc="0" distT="64770" distB="0" distL="254000" distR="0" simplePos="0" locked="0" layoutInCell="1" allowOverlap="1" relativeHeight="78">
                <wp:simplePos x="0" y="0"/>
                <wp:positionH relativeFrom="column">
                  <wp:align>left</wp:align>
                </wp:positionH>
                <wp:positionV relativeFrom="line">
                  <wp:align>top</wp:align>
                </wp:positionV>
                <wp:extent cx="127000" cy="350520"/>
                <wp:effectExtent l="0" t="0" r="0" b="0"/>
                <wp:wrapSquare wrapText="right"/>
                <wp:docPr id="76" name="Frame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planned use of our cash and cash equivalents and the clinical milestones we expect to fund with such proceeds; </w:t>
      </w:r>
      <w:r>
        <mc:AlternateContent>
          <mc:Choice Requires="wps">
            <w:drawing>
              <wp:anchor behindDoc="0" distT="64770" distB="0" distL="254000" distR="0" simplePos="0" locked="0" layoutInCell="1" allowOverlap="1" relativeHeight="79">
                <wp:simplePos x="0" y="0"/>
                <wp:positionH relativeFrom="column">
                  <wp:align>left</wp:align>
                </wp:positionH>
                <wp:positionV relativeFrom="line">
                  <wp:align>top</wp:align>
                </wp:positionV>
                <wp:extent cx="127000" cy="350520"/>
                <wp:effectExtent l="0" t="0" r="0" b="0"/>
                <wp:wrapSquare wrapText="right"/>
                <wp:docPr id="77" name="Frame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accuracy of our estimates regarding expenses, future revenues and capital requirements; </w:t>
      </w:r>
      <w:r>
        <mc:AlternateContent>
          <mc:Choice Requires="wps">
            <w:drawing>
              <wp:anchor behindDoc="0" distT="64770" distB="0" distL="254000" distR="0" simplePos="0" locked="0" layoutInCell="1" allowOverlap="1" relativeHeight="80">
                <wp:simplePos x="0" y="0"/>
                <wp:positionH relativeFrom="column">
                  <wp:align>left</wp:align>
                </wp:positionH>
                <wp:positionV relativeFrom="line">
                  <wp:align>top</wp:align>
                </wp:positionV>
                <wp:extent cx="127000" cy="350520"/>
                <wp:effectExtent l="0" t="0" r="0" b="0"/>
                <wp:wrapSquare wrapText="right"/>
                <wp:docPr id="78" name="Frame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obtain funding for our operations; </w:t>
      </w:r>
      <w:r>
        <mc:AlternateContent>
          <mc:Choice Requires="wps">
            <w:drawing>
              <wp:anchor behindDoc="0" distT="64770" distB="0" distL="254000" distR="0" simplePos="0" locked="0" layoutInCell="1" allowOverlap="1" relativeHeight="81">
                <wp:simplePos x="0" y="0"/>
                <wp:positionH relativeFrom="column">
                  <wp:align>left</wp:align>
                </wp:positionH>
                <wp:positionV relativeFrom="line">
                  <wp:align>top</wp:align>
                </wp:positionV>
                <wp:extent cx="127000" cy="350520"/>
                <wp:effectExtent l="0" t="0" r="0" b="0"/>
                <wp:wrapSquare wrapText="right"/>
                <wp:docPr id="79" name="Frame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obtain and maintain intellectual property protection for our product candidates or future product candidates and our ability to operate our business without infringing on the intellectual property rights of others; </w:t>
      </w:r>
      <w:r>
        <mc:AlternateContent>
          <mc:Choice Requires="wps">
            <w:drawing>
              <wp:anchor behindDoc="0" distT="64770" distB="0" distL="254000" distR="0" simplePos="0" locked="0" layoutInCell="1" allowOverlap="1" relativeHeight="82">
                <wp:simplePos x="0" y="0"/>
                <wp:positionH relativeFrom="column">
                  <wp:align>left</wp:align>
                </wp:positionH>
                <wp:positionV relativeFrom="line">
                  <wp:align>top</wp:align>
                </wp:positionV>
                <wp:extent cx="127000" cy="350520"/>
                <wp:effectExtent l="0" t="0" r="0" b="0"/>
                <wp:wrapSquare wrapText="right"/>
                <wp:docPr id="80" name="Frame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68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maintain proper and effective internal controls over financial reporting and to remediate and prevent material weaknesses in our internal controls; </w:t>
      </w:r>
      <w:r>
        <mc:AlternateContent>
          <mc:Choice Requires="wps">
            <w:drawing>
              <wp:anchor behindDoc="0" distT="0" distB="0" distL="254000" distR="0" simplePos="0" locked="0" layoutInCell="1" allowOverlap="1" relativeHeight="83">
                <wp:simplePos x="0" y="0"/>
                <wp:positionH relativeFrom="column">
                  <wp:align>left</wp:align>
                </wp:positionH>
                <wp:positionV relativeFrom="line">
                  <wp:posOffset>635</wp:posOffset>
                </wp:positionV>
                <wp:extent cx="127000" cy="350520"/>
                <wp:effectExtent l="0" t="0" r="0" b="0"/>
                <wp:wrapSquare wrapText="right"/>
                <wp:docPr id="81" name="Frame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success of competing drugs that are or may become available; </w:t>
      </w:r>
      <w:r>
        <mc:AlternateContent>
          <mc:Choice Requires="wps">
            <w:drawing>
              <wp:anchor behindDoc="0" distT="76200" distB="0" distL="254000" distR="0" simplePos="0" locked="0" layoutInCell="1" allowOverlap="1" relativeHeight="84">
                <wp:simplePos x="0" y="0"/>
                <wp:positionH relativeFrom="column">
                  <wp:align>left</wp:align>
                </wp:positionH>
                <wp:positionV relativeFrom="line">
                  <wp:align>top</wp:align>
                </wp:positionV>
                <wp:extent cx="127000" cy="350520"/>
                <wp:effectExtent l="0" t="0" r="0" b="0"/>
                <wp:wrapSquare wrapText="right"/>
                <wp:docPr id="82" name="Frame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potential effects of any global health crises, geopolitical tensions and macroeconomic conditions on our business, operations, and clinical development and regulatory timelines and plans; and </w:t>
      </w:r>
      <w:r>
        <mc:AlternateContent>
          <mc:Choice Requires="wps">
            <w:drawing>
              <wp:anchor behindDoc="0" distT="76200" distB="0" distL="254000" distR="0" simplePos="0" locked="0" layoutInCell="1" allowOverlap="1" relativeHeight="85">
                <wp:simplePos x="0" y="0"/>
                <wp:positionH relativeFrom="column">
                  <wp:align>left</wp:align>
                </wp:positionH>
                <wp:positionV relativeFrom="line">
                  <wp:align>top</wp:align>
                </wp:positionV>
                <wp:extent cx="127000" cy="350520"/>
                <wp:effectExtent l="0" t="0" r="0" b="0"/>
                <wp:wrapSquare wrapText="right"/>
                <wp:docPr id="83" name="Frame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anticipated use of proceeds from the sale of securities under this prospectus. </w:t>
      </w:r>
      <w:r>
        <mc:AlternateContent>
          <mc:Choice Requires="wps">
            <w:drawing>
              <wp:anchor behindDoc="0" distT="76200" distB="0" distL="254000" distR="0" simplePos="0" locked="0" layoutInCell="1" allowOverlap="1" relativeHeight="86">
                <wp:simplePos x="0" y="0"/>
                <wp:positionH relativeFrom="column">
                  <wp:align>left</wp:align>
                </wp:positionH>
                <wp:positionV relativeFrom="line">
                  <wp:align>top</wp:align>
                </wp:positionV>
                <wp:extent cx="127000" cy="350520"/>
                <wp:effectExtent l="0" t="0" r="0" b="0"/>
                <wp:wrapSquare wrapText="right"/>
                <wp:docPr id="84" name="Frame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statements reflect our views as of the date on which they were made with respect to future events and are based on assumptions and subject to risks and uncertainties. The underlying information and expectations are likely to change over time. In addition, statements that “we believe” and similar statements reflect our beliefs and opinions on the relevant subject. These statements are based upon information available to us as of the date the statement is made,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Given these uncertainties, you should not place undue reliance on these forward-looking statements as actual events or results may differ materially from those projected in the forward-looking statements due to various factors, including, but not limited to, those set forth under the heading “Risk Factors” in any applicable prospectus supplement, the documents incorporated by reference therein or any free writing prospectus that we authorized. These forward-looking statements represent our estimates and assumptions only as of the date of the document containing the applicable statement. Our actual future results may be materially different from what we expect. We qualify all of the forward-looking statements contained in this prospectus, in the documents incorporated by reference herein and in any prospectus supplement by these cautionary statements. Unless required by law, we undertake no obligation to update or revise any forward-looking statements to reflect new information or future events or developments. Thus, you should not assume that our silence over time means that actual events are bearing out as expressed or implied in such forward-looking statements. Before deciding to purchase our securities, you should carefully consider the risk factors discussed herein or incorporated by reference, in addition to the other information set forth in this prospectus, any accompanying prospectus supplement or free writing prospectus and in the documents incorporated by reference.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 w:name="sUOP"/>
      <w:bookmarkEnd w:id="2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2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described in any prospectus supplement or in any related free writing prospectus that we may authorize to be provided to you, we currently intend to use the net proceeds from the sale of securities under this prospectus for general corporate purposes, including clinical trial expenses, research and development expenses, general and administrative expenses, and capital expenditures. We may also use a portion of the net proceeds to in-license, invest in or acquire businesses, assets or technologies that we believe are complementary to our own, although we have no current plans, commitments or agreements with respect to any acquisitions. As of the date of this prospectus, we cannot specify with certainty all of the particular uses of the net proceeds from the sale of securities under this prospectus. Accordingly, we will retain broad discretion over the use of such proceeds. Pending the use of the net proceeds from the sale of securities under this prospectus as described above, we intend to invest the net proceeds in short and intermediate-term, interest-bearing obligations, investment-grade instruments, certificates of deposit or direct or guaranteed obligations of the U.S. government.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 w:name="sDOCS"/>
      <w:bookmarkEnd w:id="2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CAPITAL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description of our capital stock and provisions of our amended and restated certificate of incorporation and amended and restated bylaws are summaries and are qualified by reference to our amended and restated certificate of incorporation and amended and restated bylaws and applicable provisions of Delaware corporate law. For information on how to obtain copies of our certificate of incorporation and bylaws, which are exhibits to the registration statement of which this prospectus is a part, see “Where You Can Find More Information” and “Incorporation of Certain Information by Reference.”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Authorized Capital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total number of authorized shares of capital stock consists of (i) 150,000,000 shares of common stock, par value $0.001 per share, and (ii) 5,000,000 shares of preferred stock, par value $0.001 per share. As of December 31, 2025, there were 9,381,344 shares of our common stock outstanding, and no shares of our preferred stock outstanding.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 Preemptive, Redemption or Conversion Rights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it may designate in the future.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Voting Rights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outstanding share of common stock entitles the holder thereof to one vote on each matter properly submitted to a vote. Holders of shares of common stock do not have cumulative voting rights in the election of directors.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Dividend Rights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preferences that may be applicable to any outstanding shares of preferred stock, the holders of our common stock are entitled to receive ratably such dividends as may be declared by our board of directors out of legally available funds.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Liquidation Rights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our liquidation, dissolution or winding up, holders of our common stock are entitled to share ratably in all assets remaining after payment of liabilities and the liquidation preferences of any outstanding shares of preferred stock.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Preferred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of directors is authorized, subject to limitations prescribed by Delaware law, to issue up to 5,000,000 shares of preferred stock in one or more series, to establish from time to time the number of shares to be included in each series and to determine or alter for each such series, such voting powers, full or limited, or no voting powers and such designation, preferences, and relative, participating, optional, or other rights and such qualifications, limitations, or restrictions thereof. The board of directors can also increase or decrease the number of shares of any series, but not below the number of shares of that series then outstanding, without any further vote or action by the Company’s stockholders. The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of control of the Company or other corporate action and may adversely affect the market price of our common stock and the voting and other rights of the holders of common stock.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Board of Directors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amended and restated certificate of incorporation and amended and restated bylaws provide that, subject to any special rights of the holders of any series of preferred stock to elect directors, our authorized number of directors shall be determined from time to time by resolution of our board of directors. Our board of directors currently has seven members. Our amended and restated certificate of incorporation provides that the directors shall be divided into three classes, with each class having a three-year term expiring on a staggered basis. </w:t>
      </w:r>
    </w:p>
    <w:p>
      <w:pPr>
        <w:pStyle w:val="TextBody"/>
        <w:bidi w:val="0"/>
        <w:spacing w:lineRule="atLeast" w:line="240" w:before="224"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Transfer Agent and Registrar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transfer agent and registrar for our common stock is Equiniti Trust Company, LLC. The transfer agent’s address is 28 Liberty Street, 53rd Floor, New York, NY 10005. </w:t>
      </w:r>
    </w:p>
    <w:p>
      <w:pPr>
        <w:pStyle w:val="TextBody"/>
        <w:bidi w:val="0"/>
        <w:spacing w:lineRule="atLeast" w:line="240" w:before="222"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Listing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common stock is listed on the Nasdaq Capital Market under the symbol “TVRD.” </w:t>
      </w:r>
    </w:p>
    <w:p>
      <w:pPr>
        <w:pStyle w:val="TextBody"/>
        <w:bidi w:val="0"/>
        <w:spacing w:lineRule="atLeast" w:line="240" w:before="222"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Antitakeover Effects of Provisions of Charter Documents and Delaware Law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amended and restated certificate of incorporation, our amended and restated bylaws, and certain provisions of the General Corporation Law of the State of Delaware (the “DGCL”) contain provisions, which are summarized in the following paragraphs, that are intended to enhance the likelihood of continuity and stability in the composition of the board of directors. These provisions are intended to avoid costly takeover battles, reduce our vulnerability to a hostile or abusive change of control and enhance the ability of the board of directors to maximize stockholder value in connection with any unsolicited offer to acquire us. However, these provisions may have an anti-takeover effect and may delay, deter or prevent a merger or acquisition of us by means of a tender offer, a proxy contest or other takeover attempt that a stockholder might consider in its best interest, including those attempts that might result in a premium over the prevailing market price for the shares held by stockholders. </w:t>
      </w:r>
    </w:p>
    <w:p>
      <w:pPr>
        <w:pStyle w:val="TextBody"/>
        <w:bidi w:val="0"/>
        <w:spacing w:lineRule="atLeast" w:line="240" w:before="222"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Classification and Removal of Directors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Our board of directors is classified into three classes of directors. Under Delaware law, directors of a corporation with a classified board may be removed only for cause unless the corporation’s certificate of incorporation provides otherwise. Our amended and restated certificate of incorporation provides that any director may be removed with cause by the affirmative vote of the holders of at least 66</w:t>
      </w:r>
      <w:r>
        <w:rPr>
          <w:rFonts w:ascii="Times New Roman;Times;serif" w:hAnsi="Times New Roman;Times;serif"/>
          <w:b w:val="false"/>
          <w:i w:val="false"/>
          <w:caps w:val="false"/>
          <w:smallCaps w:val="false"/>
          <w:color w:val="000000"/>
          <w:spacing w:val="3"/>
          <w:sz w:val="14"/>
        </w:rPr>
        <w:t>2</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3"/>
          <w:sz w:val="14"/>
        </w:rPr>
        <w:t>3</w:t>
      </w:r>
      <w:r>
        <w:rPr>
          <w:rFonts w:ascii="Times New Roman;Times;serif" w:hAnsi="Times New Roman;Times;serif"/>
          <w:b w:val="false"/>
          <w:i w:val="false"/>
          <w:caps w:val="false"/>
          <w:smallCaps w:val="false"/>
          <w:color w:val="000000"/>
          <w:spacing w:val="4"/>
          <w:sz w:val="20"/>
        </w:rPr>
        <w:t xml:space="preserve">% of the voting power of all then-outstanding shares of our capital stock entitled to vote generally at an election of directors. </w:t>
      </w:r>
    </w:p>
    <w:p>
      <w:pPr>
        <w:pStyle w:val="TextBody"/>
        <w:bidi w:val="0"/>
        <w:spacing w:lineRule="atLeast" w:line="240" w:before="222"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 Cumulative Voting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amended and restated certificate of incorporation does not include a provision for cumulative voting for directors. Under cumulative voting, a minority stockholder holding a sufficient percentage of a class of shares may be able to ensure the election of one or more directors. </w:t>
      </w:r>
    </w:p>
    <w:p>
      <w:pPr>
        <w:pStyle w:val="TextBody"/>
        <w:bidi w:val="0"/>
        <w:spacing w:lineRule="atLeast" w:line="240" w:before="222"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Vacancies on the Board of Directors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amended and restated certificate of incorporation and amended and restated bylaws provide that, subject to any limitations imposed by the DGCL and the rights of the holders of any series of preferred stock, any vacancies on our board of directors resulting from death, resignation, disqualification, removal or other causes and any newly created directorships resulting from any increase in the number of directors, shall, unless the board of directors determines by resolution that any such vacancies or newly created directorships shall be filled by the stockholders, except as otherwise provided by law, be filled only by the affirmative vote of a majority of the directors then in office, even though less than a quorum or by the sole remaining director, and not by the stockholders. </w:t>
      </w:r>
    </w:p>
    <w:p>
      <w:pPr>
        <w:pStyle w:val="TextBody"/>
        <w:bidi w:val="0"/>
        <w:spacing w:lineRule="atLeast" w:line="240" w:before="222"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Stockholder Action by Written Consent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amended and restated certificate of incorporation and our amended and restated bylaws do not provide for the right of stockholders to act by written consent without a meeting.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Special Stockholder Meetings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our amended and restated bylaws, a special meeting of the stockholders may be called only by the chairperson of the board of directors, the Chief Executive Officer, or the board of directors pursuant to a resolution adopted by the majority of the total number of authorized directors. The board of directors shall determine the time and place, if any, of such special meeting.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Stockholder Nominations and Proposals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amended and restated bylaws provide that stockholders seeking to present proposals before a meeting of stockholders or to nominate candidates for election as directors at a meeting of stockholders must provide written notice on a timely basis and also specify requirements as to the form and content of a stockholder’s notice.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of Stockholder Meeting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amended and restated bylaws provide that written notice of a meeting of the stockholders shall be given not less than 10 nor more than 60 days before the date of the meeting to each stockholder entitled to vote at such meeting. The notice shall specify the place, if any, date and hour, in the case of special meetings, the purpose or purposes of the meeting, and the means of remote communications, if any, by which stockholders and proxy holders may be deemed to be present in person and vote at any such meeting.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mailed, notice is given when deposited in the U.S. mail, postage prepaid, directed to the stockholder at such stockholder’s address as it appears on our records. Notice of the time, place, if any, and purpose of any meeting of stockholders may be waived in writing, signed by the person entitled to notice thereof, or by electronic transmission by such person, either before or after such meeting, and will be waived by any stockholder by his or her attendance thereat in person, by remote communication, if applicable, or by proxy, except when the stockholder attends a meeting for the express purpose of objecting, at the beginning of the meeting, to the transaction of any business because the meeting is not lawfully called or convened. Any stockholder so waiving notice of such meeting shall be bound by the proceedings of any such meeting in all respects as if due notice thereof had been given.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Indemnification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amended and restated certificate of incorporation and amended and restated bylaws provide that to the fullest extent permitted by law, we are authorized to provide indemnification of (and advancement of expenses to) our directors, officers and agents (and any other persons to which applicable law permits us to provide indemnification) through bylaw provisions, agreements with such agents or other persons, vote of stockholders or disinterested directors or otherwise in excess of the indemnification and advancement otherwise permitted by such applicable law.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entered into separate indemnification agreements with each of its directors and executive officers, in addition to the indemnification provided for in our amended and restated certificate of incorporation and amended and restated bylaws.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Amendment of Certificate of Incorporation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Notwithstanding any other provisions in our amended and restated certificate of incorporation or any provision of law which might otherwise permit a lesser vote or no vote, but in addition to any affirmative vote of the holders of any particular class or series of stock required by law or by our amended and restated certificate of incorporation or any certificate of designation filed with respect to a series of preferred stock, the affirmative vote of the holders of at least 66</w:t>
      </w:r>
      <w:r>
        <w:rPr>
          <w:rFonts w:ascii="Times New Roman;Times;serif" w:hAnsi="Times New Roman;Times;serif"/>
          <w:b w:val="false"/>
          <w:i w:val="false"/>
          <w:caps w:val="false"/>
          <w:smallCaps w:val="false"/>
          <w:color w:val="000000"/>
          <w:spacing w:val="3"/>
          <w:sz w:val="14"/>
        </w:rPr>
        <w:t>2</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3"/>
          <w:sz w:val="14"/>
        </w:rPr>
        <w:t>3</w:t>
      </w:r>
      <w:r>
        <w:rPr>
          <w:rFonts w:ascii="Times New Roman;Times;serif" w:hAnsi="Times New Roman;Times;serif"/>
          <w:b w:val="false"/>
          <w:i w:val="false"/>
          <w:caps w:val="false"/>
          <w:smallCaps w:val="false"/>
          <w:color w:val="000000"/>
          <w:spacing w:val="4"/>
          <w:sz w:val="20"/>
        </w:rPr>
        <w:t xml:space="preserve">% of the voting power of all of the then outstanding shares of common stock entitled to vote generally in the election of directors, voting together as a single class, shall be required to alter, amend or repeal Articles V, VI, VII and VIII of our amended and restated certificate of incorporation.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Amendment of Bylaws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amended and restated certificate of incorporation and amended and restated bylaws provide that the board of directors is expressly empowered to adopt, amend or repeal our amended and restated bylaws.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Any adoption, amendment or repeal of our amended and restated bylaws by the board of directors shall require the approval of a majority of the authorized number of directors. Our amended and restated certificate of incorporation also provides that the stockholders shall also have power to adopt, amend or repeal our amended and restated bylaws; provided, however, that, in addition to any vote of the holders of any class or series of stock required by law or by our amended and restated certificate of incorporation, such action by stockholders shall require the affirmative vote of the holders of at least 66</w:t>
      </w:r>
      <w:r>
        <w:rPr>
          <w:rFonts w:ascii="Times New Roman;Times;serif" w:hAnsi="Times New Roman;Times;serif"/>
          <w:b w:val="false"/>
          <w:i w:val="false"/>
          <w:caps w:val="false"/>
          <w:smallCaps w:val="false"/>
          <w:color w:val="000000"/>
          <w:spacing w:val="3"/>
          <w:sz w:val="14"/>
        </w:rPr>
        <w:t>2</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3"/>
          <w:sz w:val="14"/>
        </w:rPr>
        <w:t>3</w:t>
      </w:r>
      <w:r>
        <w:rPr>
          <w:rFonts w:ascii="Times New Roman;Times;serif" w:hAnsi="Times New Roman;Times;serif"/>
          <w:b w:val="false"/>
          <w:i w:val="false"/>
          <w:caps w:val="false"/>
          <w:smallCaps w:val="false"/>
          <w:color w:val="000000"/>
          <w:spacing w:val="4"/>
          <w:sz w:val="20"/>
        </w:rPr>
        <w:t xml:space="preserve">% of the voting power of all of the then-outstanding shares of common stock entitled to vote generally in the election of directors, voting together as a single class.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Choice of Forum</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amended and restated certificate of incorporation provides that, unless we consent in writing to the selection of an alternative forum,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therefrom shall be the sole and exclusive forum for (A) any derivative action or proceeding brought on our behalf; (B) any action asserting a claim of breach of a fiduciary duty owed by any director, officer or other employee to us or our stockholders; (C) any action asserting a claim against us arising pursuant to any provision of the DGCL, our certificate of incorporation or our bylaws; or (D) any action asserting a claim against us governed by the internal affairs doctrine, in all cases to the fullest extent permitted by law and subject to the court having personal jurisdiction over the indispensable parties named as defendants. Notwithstanding the foregoing, these forum selection provisions do not apply to claims or causes of action brought to enforce a duty or liability created by the Securities Act or the Exchange Act, or any other claim for which the federal courts of the United States have exclusive jurisdiction.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Delaware Takeover Statute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subject to the provisions of Section 203 of the DGCL regulating corporate takeovers. In general, those provisions prohibit a Delaware corporation, including those whose securities are listed for trading on Nasdaq, from engaging in any business combination with any interested stockholder for a period of three years following the date that the stockholder became an interested stockholder, unless: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transaction is approved by the board of directors before the date the interested stockholder attained that status; </w:t>
      </w:r>
      <w:r>
        <mc:AlternateContent>
          <mc:Choice Requires="wps">
            <w:drawing>
              <wp:anchor behindDoc="0" distT="76200" distB="0" distL="254000" distR="0" simplePos="0" locked="0" layoutInCell="1" allowOverlap="1" relativeHeight="87">
                <wp:simplePos x="0" y="0"/>
                <wp:positionH relativeFrom="column">
                  <wp:align>left</wp:align>
                </wp:positionH>
                <wp:positionV relativeFrom="line">
                  <wp:align>top</wp:align>
                </wp:positionV>
                <wp:extent cx="127000" cy="350520"/>
                <wp:effectExtent l="0" t="0" r="0" b="0"/>
                <wp:wrapSquare wrapText="right"/>
                <wp:docPr id="85" name="Frame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consummation of the transaction that resulted in the stockholder becoming an interested stockholder, the interested stockholder owned at least 85% of the voting stock of the corporation outstanding at the time the transaction commenced; or </w:t>
      </w:r>
      <w:r>
        <mc:AlternateContent>
          <mc:Choice Requires="wps">
            <w:drawing>
              <wp:anchor behindDoc="0" distT="76200" distB="0" distL="254000" distR="0" simplePos="0" locked="0" layoutInCell="1" allowOverlap="1" relativeHeight="88">
                <wp:simplePos x="0" y="0"/>
                <wp:positionH relativeFrom="column">
                  <wp:align>left</wp:align>
                </wp:positionH>
                <wp:positionV relativeFrom="line">
                  <wp:align>top</wp:align>
                </wp:positionV>
                <wp:extent cx="127000" cy="350520"/>
                <wp:effectExtent l="0" t="0" r="0" b="0"/>
                <wp:wrapSquare wrapText="right"/>
                <wp:docPr id="86" name="Frame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or after such time the business combination is approved by the board of directors and authorized at a meeting of stockholders by at least two-thirds of the outstanding voting stock that is not owned by the interested stockholder. </w:t>
      </w:r>
      <w:r>
        <mc:AlternateContent>
          <mc:Choice Requires="wps">
            <w:drawing>
              <wp:anchor behindDoc="0" distT="76200" distB="0" distL="254000" distR="0" simplePos="0" locked="0" layoutInCell="1" allowOverlap="1" relativeHeight="89">
                <wp:simplePos x="0" y="0"/>
                <wp:positionH relativeFrom="column">
                  <wp:align>left</wp:align>
                </wp:positionH>
                <wp:positionV relativeFrom="line">
                  <wp:align>top</wp:align>
                </wp:positionV>
                <wp:extent cx="127000" cy="350520"/>
                <wp:effectExtent l="0" t="0" r="0" b="0"/>
                <wp:wrapSquare wrapText="right"/>
                <wp:docPr id="87" name="Frame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203 defines a business combination to include: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merger or consolidation involving the corporation and the interested stockholder; </w:t>
      </w:r>
      <w:r>
        <mc:AlternateContent>
          <mc:Choice Requires="wps">
            <w:drawing>
              <wp:anchor behindDoc="0" distT="76200" distB="0" distL="254000" distR="0" simplePos="0" locked="0" layoutInCell="1" allowOverlap="1" relativeHeight="90">
                <wp:simplePos x="0" y="0"/>
                <wp:positionH relativeFrom="column">
                  <wp:align>left</wp:align>
                </wp:positionH>
                <wp:positionV relativeFrom="line">
                  <wp:align>top</wp:align>
                </wp:positionV>
                <wp:extent cx="127000" cy="350520"/>
                <wp:effectExtent l="0" t="0" r="0" b="0"/>
                <wp:wrapSquare wrapText="right"/>
                <wp:docPr id="88" name="Frame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sale, transfer, lease, pledge, exchange, mortgage or other disposition involving the interested stockholder of 10% or more of the assets of the corporation; </w:t>
      </w:r>
      <w:r>
        <mc:AlternateContent>
          <mc:Choice Requires="wps">
            <w:drawing>
              <wp:anchor behindDoc="0" distT="76200" distB="0" distL="254000" distR="0" simplePos="0" locked="0" layoutInCell="1" allowOverlap="1" relativeHeight="91">
                <wp:simplePos x="0" y="0"/>
                <wp:positionH relativeFrom="column">
                  <wp:align>left</wp:align>
                </wp:positionH>
                <wp:positionV relativeFrom="line">
                  <wp:align>top</wp:align>
                </wp:positionV>
                <wp:extent cx="127000" cy="350520"/>
                <wp:effectExtent l="0" t="0" r="0" b="0"/>
                <wp:wrapSquare wrapText="right"/>
                <wp:docPr id="89" name="Frame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exceptions, any transaction that results in the issuance or transfer by the corporation of any stock of the corporation to the interested stockholder; </w:t>
      </w:r>
      <w:r>
        <mc:AlternateContent>
          <mc:Choice Requires="wps">
            <w:drawing>
              <wp:anchor behindDoc="0" distT="76200" distB="0" distL="254000" distR="0" simplePos="0" locked="0" layoutInCell="1" allowOverlap="1" relativeHeight="92">
                <wp:simplePos x="0" y="0"/>
                <wp:positionH relativeFrom="column">
                  <wp:align>left</wp:align>
                </wp:positionH>
                <wp:positionV relativeFrom="line">
                  <wp:align>top</wp:align>
                </wp:positionV>
                <wp:extent cx="127000" cy="350520"/>
                <wp:effectExtent l="0" t="0" r="0" b="0"/>
                <wp:wrapSquare wrapText="right"/>
                <wp:docPr id="90" name="Frame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exceptions, any transaction involving the corporation that has the effect of directly or indirectly increasing the proportionate share of the stock of any class or series, or securities convertible into the stock of any class or series, of the corporation beneficially owned by the interested stockholder; or </w:t>
      </w:r>
      <w:r>
        <mc:AlternateContent>
          <mc:Choice Requires="wps">
            <w:drawing>
              <wp:anchor behindDoc="0" distT="76200" distB="0" distL="254000" distR="0" simplePos="0" locked="0" layoutInCell="1" allowOverlap="1" relativeHeight="93">
                <wp:simplePos x="0" y="0"/>
                <wp:positionH relativeFrom="column">
                  <wp:align>left</wp:align>
                </wp:positionH>
                <wp:positionV relativeFrom="line">
                  <wp:align>top</wp:align>
                </wp:positionV>
                <wp:extent cx="127000" cy="350520"/>
                <wp:effectExtent l="0" t="0" r="0" b="0"/>
                <wp:wrapSquare wrapText="right"/>
                <wp:docPr id="91" name="Frame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20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direct or indirect receipt by the interested stockholder of the benefit of any loans, advances, guarantees, pledges or other financial benefits provided by or through the corporation. </w:t>
      </w:r>
      <w:r>
        <mc:AlternateContent>
          <mc:Choice Requires="wps">
            <w:drawing>
              <wp:anchor behindDoc="0" distT="0" distB="0" distL="254000" distR="0" simplePos="0" locked="0" layoutInCell="1" allowOverlap="1" relativeHeight="94">
                <wp:simplePos x="0" y="0"/>
                <wp:positionH relativeFrom="column">
                  <wp:align>left</wp:align>
                </wp:positionH>
                <wp:positionV relativeFrom="line">
                  <wp:posOffset>635</wp:posOffset>
                </wp:positionV>
                <wp:extent cx="127000" cy="350520"/>
                <wp:effectExtent l="0" t="0" r="0" b="0"/>
                <wp:wrapSquare wrapText="right"/>
                <wp:docPr id="92" name="Frame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rFonts w:ascii="Times New Roman;Times;serif" w:hAnsi="Times New Roman;Times;serif"/>
                                <w:sz w:val="20"/>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rFonts w:ascii="Times New Roman;Times;serif" w:hAnsi="Times New Roman;Times;serif"/>
                          <w:sz w:val="20"/>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Generally, Section 203 defines an interested stockholder as any entity or person beneficially owning 15% or more of the outstanding voting stock of the corporation and any entity or person affiliated with or controlling or controlled by the entity or person.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 w:name="sDODS"/>
      <w:bookmarkEnd w:id="2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DEBT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debt securities from time to time, in one or more series, as either senior or subordinated debt or as senior or subordinated convertible debt. While the terms we have summarized below will apply generally to any debt securities that we may offer under this prospectus, we will describe the particular terms of any debt securities that we may offer in more detail in the applicable prospectus supplement. The terms of any debt securities offered under a prospectus supplement may differ from the terms described below. Unless the context requires otherwise, whenever we refer to the indenture, we also are referring to any supplemental indentures that specify the terms of a particular series of debt securities.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issue the debt securities under the indenture that we will enter into with the trustee named in the indenture. The indenture will be qualified under the Trust Indenture Act of 1939, as amended (the Trust Indenture Act).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summary of material provisions of the debt securities and the indenture is subject to, and qualified in its entirety by reference to, all of the provisions of the indenture applicable to a particular series of debt securities. We urge you to read the applicable prospectus supplements and any related free writing prospectuses related to the debt securities that we may offer under this prospectus, as well as the complete indenture that contains the terms of the debt securities.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does not limit the amount of debt securities that we may issue. It provides that we may issue debt securities up to the principal amount that we may authorize and may be in any 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the debt securities issued under the indenture as “discount securities,” which means they may be sold at a discount below their stated principal amount. These debt securities, as well as other debt securities that are not issued at a discount, may be issued with original issue discount (“OID”) for U.S. federal income tax purposes because of interest payment and other characteristics or terms of the debt securities. Material U.S. federal income tax considerations applicable to debt securities issued with OID will be described in more detail in any applicable prospectus supplement.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describe in the applicable prospectus supplement the terms of the series of debt securities being offered, including: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title of the series of debt securities; </w:t>
      </w:r>
      <w:r>
        <mc:AlternateContent>
          <mc:Choice Requires="wps">
            <w:drawing>
              <wp:anchor behindDoc="0" distT="74930" distB="0" distL="254000" distR="0" simplePos="0" locked="0" layoutInCell="1" allowOverlap="1" relativeHeight="95">
                <wp:simplePos x="0" y="0"/>
                <wp:positionH relativeFrom="column">
                  <wp:align>left</wp:align>
                </wp:positionH>
                <wp:positionV relativeFrom="line">
                  <wp:align>top</wp:align>
                </wp:positionV>
                <wp:extent cx="127000" cy="350520"/>
                <wp:effectExtent l="0" t="0" r="0" b="0"/>
                <wp:wrapSquare wrapText="right"/>
                <wp:docPr id="93" name="Frame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limit upon the aggregate principal amount that may be issued; </w:t>
      </w:r>
      <w:r>
        <mc:AlternateContent>
          <mc:Choice Requires="wps">
            <w:drawing>
              <wp:anchor behindDoc="0" distT="74930" distB="0" distL="254000" distR="0" simplePos="0" locked="0" layoutInCell="1" allowOverlap="1" relativeHeight="96">
                <wp:simplePos x="0" y="0"/>
                <wp:positionH relativeFrom="column">
                  <wp:align>left</wp:align>
                </wp:positionH>
                <wp:positionV relativeFrom="line">
                  <wp:align>top</wp:align>
                </wp:positionV>
                <wp:extent cx="127000" cy="350520"/>
                <wp:effectExtent l="0" t="0" r="0" b="0"/>
                <wp:wrapSquare wrapText="right"/>
                <wp:docPr id="94" name="Frame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maturity date or dates; </w:t>
      </w:r>
      <w:r>
        <mc:AlternateContent>
          <mc:Choice Requires="wps">
            <w:drawing>
              <wp:anchor behindDoc="0" distT="74930" distB="0" distL="254000" distR="0" simplePos="0" locked="0" layoutInCell="1" allowOverlap="1" relativeHeight="97">
                <wp:simplePos x="0" y="0"/>
                <wp:positionH relativeFrom="column">
                  <wp:align>left</wp:align>
                </wp:positionH>
                <wp:positionV relativeFrom="line">
                  <wp:align>top</wp:align>
                </wp:positionV>
                <wp:extent cx="127000" cy="350520"/>
                <wp:effectExtent l="0" t="0" r="0" b="0"/>
                <wp:wrapSquare wrapText="right"/>
                <wp:docPr id="95" name="Frame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form of the debt securities of the series; </w:t>
      </w:r>
      <w:r>
        <mc:AlternateContent>
          <mc:Choice Requires="wps">
            <w:drawing>
              <wp:anchor behindDoc="0" distT="74930" distB="0" distL="254000" distR="0" simplePos="0" locked="0" layoutInCell="1" allowOverlap="1" relativeHeight="98">
                <wp:simplePos x="0" y="0"/>
                <wp:positionH relativeFrom="column">
                  <wp:align>left</wp:align>
                </wp:positionH>
                <wp:positionV relativeFrom="line">
                  <wp:align>top</wp:align>
                </wp:positionV>
                <wp:extent cx="127000" cy="350520"/>
                <wp:effectExtent l="0" t="0" r="0" b="0"/>
                <wp:wrapSquare wrapText="right"/>
                <wp:docPr id="96" name="Frame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applicability of any guarantees; </w:t>
      </w:r>
      <w:r>
        <mc:AlternateContent>
          <mc:Choice Requires="wps">
            <w:drawing>
              <wp:anchor behindDoc="0" distT="74930" distB="0" distL="254000" distR="0" simplePos="0" locked="0" layoutInCell="1" allowOverlap="1" relativeHeight="99">
                <wp:simplePos x="0" y="0"/>
                <wp:positionH relativeFrom="column">
                  <wp:align>left</wp:align>
                </wp:positionH>
                <wp:positionV relativeFrom="line">
                  <wp:align>top</wp:align>
                </wp:positionV>
                <wp:extent cx="127000" cy="350520"/>
                <wp:effectExtent l="0" t="0" r="0" b="0"/>
                <wp:wrapSquare wrapText="right"/>
                <wp:docPr id="97" name="Frame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or not the debt securities will be secured or unsecured, and the terms of any secured debt; </w:t>
      </w:r>
      <w:r>
        <mc:AlternateContent>
          <mc:Choice Requires="wps">
            <w:drawing>
              <wp:anchor behindDoc="0" distT="74930" distB="0" distL="254000" distR="0" simplePos="0" locked="0" layoutInCell="1" allowOverlap="1" relativeHeight="100">
                <wp:simplePos x="0" y="0"/>
                <wp:positionH relativeFrom="column">
                  <wp:align>left</wp:align>
                </wp:positionH>
                <wp:positionV relativeFrom="line">
                  <wp:align>top</wp:align>
                </wp:positionV>
                <wp:extent cx="127000" cy="350520"/>
                <wp:effectExtent l="0" t="0" r="0" b="0"/>
                <wp:wrapSquare wrapText="right"/>
                <wp:docPr id="98" name="Frame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debt securities rank as senior debt, senior subordinated debt, subordinated debt or any combination thereof, and the terms of any subordination; </w:t>
      </w:r>
      <w:r>
        <mc:AlternateContent>
          <mc:Choice Requires="wps">
            <w:drawing>
              <wp:anchor behindDoc="0" distT="74930" distB="0" distL="254000" distR="0" simplePos="0" locked="0" layoutInCell="1" allowOverlap="1" relativeHeight="101">
                <wp:simplePos x="0" y="0"/>
                <wp:positionH relativeFrom="column">
                  <wp:align>left</wp:align>
                </wp:positionH>
                <wp:positionV relativeFrom="line">
                  <wp:align>top</wp:align>
                </wp:positionV>
                <wp:extent cx="127000" cy="350520"/>
                <wp:effectExtent l="0" t="0" r="0" b="0"/>
                <wp:wrapSquare wrapText="right"/>
                <wp:docPr id="99" name="Frame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price (expressed as a percentage of the aggregate principal amount thereof) at which such debt securities will be issued is a price other than the principal amount thereof, the portion of the principal amount thereof payable upon declaration of acceleration of the maturity thereof, or if applicable, the portion of the principal amount of such debt securities that is convertible into another security or the method by which any such portion shall be determined; </w:t>
      </w:r>
      <w:r>
        <mc:AlternateContent>
          <mc:Choice Requires="wps">
            <w:drawing>
              <wp:anchor behindDoc="0" distT="74930" distB="0" distL="254000" distR="0" simplePos="0" locked="0" layoutInCell="1" allowOverlap="1" relativeHeight="102">
                <wp:simplePos x="0" y="0"/>
                <wp:positionH relativeFrom="column">
                  <wp:align>left</wp:align>
                </wp:positionH>
                <wp:positionV relativeFrom="line">
                  <wp:align>top</wp:align>
                </wp:positionV>
                <wp:extent cx="127000" cy="350520"/>
                <wp:effectExtent l="0" t="0" r="0" b="0"/>
                <wp:wrapSquare wrapText="right"/>
                <wp:docPr id="100" name="Frame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interest rate or rates, which may be fixed or variable, or the method for determining the rate and the date interest will begin to accrue, the dates interest will be payable and the regular record dates for interest payment dates or the method for determining such dates; </w:t>
      </w:r>
      <w:r>
        <mc:AlternateContent>
          <mc:Choice Requires="wps">
            <w:drawing>
              <wp:anchor behindDoc="0" distT="0" distB="0" distL="254000" distR="0" simplePos="0" locked="0" layoutInCell="1" allowOverlap="1" relativeHeight="103">
                <wp:simplePos x="0" y="0"/>
                <wp:positionH relativeFrom="column">
                  <wp:align>left</wp:align>
                </wp:positionH>
                <wp:positionV relativeFrom="line">
                  <wp:posOffset>635</wp:posOffset>
                </wp:positionV>
                <wp:extent cx="127000" cy="350520"/>
                <wp:effectExtent l="0" t="0" r="0" b="0"/>
                <wp:wrapSquare wrapText="right"/>
                <wp:docPr id="101" name="Frame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right, if any, to defer payment of interest and the maximum length of any such deferral period; </w:t>
      </w:r>
      <w:r>
        <mc:AlternateContent>
          <mc:Choice Requires="wps">
            <w:drawing>
              <wp:anchor behindDoc="0" distT="80010" distB="0" distL="254000" distR="0" simplePos="0" locked="0" layoutInCell="1" allowOverlap="1" relativeHeight="104">
                <wp:simplePos x="0" y="0"/>
                <wp:positionH relativeFrom="column">
                  <wp:align>left</wp:align>
                </wp:positionH>
                <wp:positionV relativeFrom="line">
                  <wp:align>top</wp:align>
                </wp:positionV>
                <wp:extent cx="127000" cy="350520"/>
                <wp:effectExtent l="0" t="0" r="0" b="0"/>
                <wp:wrapSquare wrapText="right"/>
                <wp:docPr id="102" name="Frame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applicable, the date or dates after which, or the period or periods during which, and the price or prices at which, we may, at our option, redeem the series of debt securities pursuant to any optional or provisional redemption provisions and the terms of those redemption provisions; </w:t>
      </w:r>
      <w:r>
        <mc:AlternateContent>
          <mc:Choice Requires="wps">
            <w:drawing>
              <wp:anchor behindDoc="0" distT="80010" distB="0" distL="254000" distR="0" simplePos="0" locked="0" layoutInCell="1" allowOverlap="1" relativeHeight="105">
                <wp:simplePos x="0" y="0"/>
                <wp:positionH relativeFrom="column">
                  <wp:align>left</wp:align>
                </wp:positionH>
                <wp:positionV relativeFrom="line">
                  <wp:align>top</wp:align>
                </wp:positionV>
                <wp:extent cx="127000" cy="350520"/>
                <wp:effectExtent l="0" t="0" r="0" b="0"/>
                <wp:wrapSquare wrapText="right"/>
                <wp:docPr id="103" name="Frame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or dates, if any, on which, and the price or prices at which we are obligated, pursuant to any mandatory sinking fund or analogous fund provisions or otherwise, to redeem, or at the holder’s option to purchase, the series of debt securities and the currency or currency unit in which the debt securities are payable; </w:t>
      </w:r>
      <w:r>
        <mc:AlternateContent>
          <mc:Choice Requires="wps">
            <w:drawing>
              <wp:anchor behindDoc="0" distT="80010" distB="0" distL="254000" distR="0" simplePos="0" locked="0" layoutInCell="1" allowOverlap="1" relativeHeight="106">
                <wp:simplePos x="0" y="0"/>
                <wp:positionH relativeFrom="column">
                  <wp:align>left</wp:align>
                </wp:positionH>
                <wp:positionV relativeFrom="line">
                  <wp:align>top</wp:align>
                </wp:positionV>
                <wp:extent cx="127000" cy="350520"/>
                <wp:effectExtent l="0" t="0" r="0" b="0"/>
                <wp:wrapSquare wrapText="right"/>
                <wp:docPr id="104" name="Frame1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denominations in which we will issue the series of debt securities, if other than denominations of $1,000 and any integral multiple thereof; </w:t>
      </w:r>
      <w:r>
        <mc:AlternateContent>
          <mc:Choice Requires="wps">
            <w:drawing>
              <wp:anchor behindDoc="0" distT="80010" distB="0" distL="254000" distR="0" simplePos="0" locked="0" layoutInCell="1" allowOverlap="1" relativeHeight="107">
                <wp:simplePos x="0" y="0"/>
                <wp:positionH relativeFrom="column">
                  <wp:align>left</wp:align>
                </wp:positionH>
                <wp:positionV relativeFrom="line">
                  <wp:align>top</wp:align>
                </wp:positionV>
                <wp:extent cx="127000" cy="350520"/>
                <wp:effectExtent l="0" t="0" r="0" b="0"/>
                <wp:wrapSquare wrapText="right"/>
                <wp:docPr id="105" name="Frame1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 </w:t>
      </w:r>
      <w:r>
        <mc:AlternateContent>
          <mc:Choice Requires="wps">
            <w:drawing>
              <wp:anchor behindDoc="0" distT="80010" distB="0" distL="254000" distR="0" simplePos="0" locked="0" layoutInCell="1" allowOverlap="1" relativeHeight="108">
                <wp:simplePos x="0" y="0"/>
                <wp:positionH relativeFrom="column">
                  <wp:align>left</wp:align>
                </wp:positionH>
                <wp:positionV relativeFrom="line">
                  <wp:align>top</wp:align>
                </wp:positionV>
                <wp:extent cx="127000" cy="350520"/>
                <wp:effectExtent l="0" t="0" r="0" b="0"/>
                <wp:wrapSquare wrapText="right"/>
                <wp:docPr id="106" name="Frame1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debt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 </w:t>
      </w:r>
      <w:r>
        <mc:AlternateContent>
          <mc:Choice Requires="wps">
            <w:drawing>
              <wp:anchor behindDoc="0" distT="80010" distB="0" distL="254000" distR="0" simplePos="0" locked="0" layoutInCell="1" allowOverlap="1" relativeHeight="109">
                <wp:simplePos x="0" y="0"/>
                <wp:positionH relativeFrom="column">
                  <wp:align>left</wp:align>
                </wp:positionH>
                <wp:positionV relativeFrom="line">
                  <wp:align>top</wp:align>
                </wp:positionV>
                <wp:extent cx="127000" cy="350520"/>
                <wp:effectExtent l="0" t="0" r="0" b="0"/>
                <wp:wrapSquare wrapText="right"/>
                <wp:docPr id="107" name="Frame1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applicable, the provisions relating to conversion or exchange of any debt securities of the series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 </w:t>
      </w:r>
      <w:r>
        <mc:AlternateContent>
          <mc:Choice Requires="wps">
            <w:drawing>
              <wp:anchor behindDoc="0" distT="78740" distB="0" distL="254000" distR="0" simplePos="0" locked="0" layoutInCell="1" allowOverlap="1" relativeHeight="110">
                <wp:simplePos x="0" y="0"/>
                <wp:positionH relativeFrom="column">
                  <wp:align>left</wp:align>
                </wp:positionH>
                <wp:positionV relativeFrom="line">
                  <wp:align>top</wp:align>
                </wp:positionV>
                <wp:extent cx="127000" cy="350520"/>
                <wp:effectExtent l="0" t="0" r="0" b="0"/>
                <wp:wrapSquare wrapText="right"/>
                <wp:docPr id="108" name="Frame1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other than the full principal amount thereof, the portion of the principal amount of debt securities of the series which shall be payable upon declaration of acceleration of the maturity thereof; </w:t>
      </w:r>
      <w:r>
        <mc:AlternateContent>
          <mc:Choice Requires="wps">
            <w:drawing>
              <wp:anchor behindDoc="0" distT="78740" distB="0" distL="254000" distR="0" simplePos="0" locked="0" layoutInCell="1" allowOverlap="1" relativeHeight="111">
                <wp:simplePos x="0" y="0"/>
                <wp:positionH relativeFrom="column">
                  <wp:align>left</wp:align>
                </wp:positionH>
                <wp:positionV relativeFrom="line">
                  <wp:align>top</wp:align>
                </wp:positionV>
                <wp:extent cx="127000" cy="350520"/>
                <wp:effectExtent l="0" t="0" r="0" b="0"/>
                <wp:wrapSquare wrapText="right"/>
                <wp:docPr id="109" name="Frame1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additions to or changes in the covenants applicable to the particular debt securities being issued, including, among others, the consolidation, merger or sale covenant; </w:t>
      </w:r>
      <w:r>
        <mc:AlternateContent>
          <mc:Choice Requires="wps">
            <w:drawing>
              <wp:anchor behindDoc="0" distT="78740" distB="0" distL="254000" distR="0" simplePos="0" locked="0" layoutInCell="1" allowOverlap="1" relativeHeight="112">
                <wp:simplePos x="0" y="0"/>
                <wp:positionH relativeFrom="column">
                  <wp:align>left</wp:align>
                </wp:positionH>
                <wp:positionV relativeFrom="line">
                  <wp:align>top</wp:align>
                </wp:positionV>
                <wp:extent cx="127000" cy="350520"/>
                <wp:effectExtent l="0" t="0" r="0" b="0"/>
                <wp:wrapSquare wrapText="right"/>
                <wp:docPr id="110" name="Frame1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additions to or changes in the events of default with respect to the securities and any change in the right of the trustee or the holders to declare the principal, premium, if any, and interest, if any, with respect to such securities to be due and payable; </w:t>
      </w:r>
      <w:r>
        <mc:AlternateContent>
          <mc:Choice Requires="wps">
            <w:drawing>
              <wp:anchor behindDoc="0" distT="78740" distB="0" distL="254000" distR="0" simplePos="0" locked="0" layoutInCell="1" allowOverlap="1" relativeHeight="113">
                <wp:simplePos x="0" y="0"/>
                <wp:positionH relativeFrom="column">
                  <wp:align>left</wp:align>
                </wp:positionH>
                <wp:positionV relativeFrom="line">
                  <wp:align>top</wp:align>
                </wp:positionV>
                <wp:extent cx="127000" cy="350520"/>
                <wp:effectExtent l="0" t="0" r="0" b="0"/>
                <wp:wrapSquare wrapText="right"/>
                <wp:docPr id="111" name="Frame1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additions to or changes in or deletions of the provisions relating to covenant defeasance and legal defeasance; </w:t>
      </w:r>
      <w:r>
        <mc:AlternateContent>
          <mc:Choice Requires="wps">
            <w:drawing>
              <wp:anchor behindDoc="0" distT="78740" distB="0" distL="254000" distR="0" simplePos="0" locked="0" layoutInCell="1" allowOverlap="1" relativeHeight="114">
                <wp:simplePos x="0" y="0"/>
                <wp:positionH relativeFrom="column">
                  <wp:align>left</wp:align>
                </wp:positionH>
                <wp:positionV relativeFrom="line">
                  <wp:align>top</wp:align>
                </wp:positionV>
                <wp:extent cx="127000" cy="350520"/>
                <wp:effectExtent l="0" t="0" r="0" b="0"/>
                <wp:wrapSquare wrapText="right"/>
                <wp:docPr id="112" name="Frame1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additions to or changes in the provisions relating to satisfaction and discharge of the indenture; </w:t>
      </w:r>
      <w:r>
        <mc:AlternateContent>
          <mc:Choice Requires="wps">
            <w:drawing>
              <wp:anchor behindDoc="0" distT="78740" distB="0" distL="254000" distR="0" simplePos="0" locked="0" layoutInCell="1" allowOverlap="1" relativeHeight="115">
                <wp:simplePos x="0" y="0"/>
                <wp:positionH relativeFrom="column">
                  <wp:align>left</wp:align>
                </wp:positionH>
                <wp:positionV relativeFrom="line">
                  <wp:align>top</wp:align>
                </wp:positionV>
                <wp:extent cx="127000" cy="350520"/>
                <wp:effectExtent l="0" t="0" r="0" b="0"/>
                <wp:wrapSquare wrapText="right"/>
                <wp:docPr id="113" name="Frame1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additions to or changes in the provisions relating to the modification of the indenture both with and without the consent of holders of debt securities issued under the indenture; </w:t>
      </w:r>
      <w:r>
        <mc:AlternateContent>
          <mc:Choice Requires="wps">
            <w:drawing>
              <wp:anchor behindDoc="0" distT="78740" distB="0" distL="254000" distR="0" simplePos="0" locked="0" layoutInCell="1" allowOverlap="1" relativeHeight="116">
                <wp:simplePos x="0" y="0"/>
                <wp:positionH relativeFrom="column">
                  <wp:align>left</wp:align>
                </wp:positionH>
                <wp:positionV relativeFrom="line">
                  <wp:align>top</wp:align>
                </wp:positionV>
                <wp:extent cx="127000" cy="350520"/>
                <wp:effectExtent l="0" t="0" r="0" b="0"/>
                <wp:wrapSquare wrapText="right"/>
                <wp:docPr id="114" name="Frame1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currency of payment of debt securities if other than U.S. dollars and the manner of determining the equivalent amount in U.S. dollars; </w:t>
      </w:r>
      <w:r>
        <mc:AlternateContent>
          <mc:Choice Requires="wps">
            <w:drawing>
              <wp:anchor behindDoc="0" distT="78740" distB="0" distL="254000" distR="0" simplePos="0" locked="0" layoutInCell="1" allowOverlap="1" relativeHeight="117">
                <wp:simplePos x="0" y="0"/>
                <wp:positionH relativeFrom="column">
                  <wp:align>left</wp:align>
                </wp:positionH>
                <wp:positionV relativeFrom="line">
                  <wp:align>top</wp:align>
                </wp:positionV>
                <wp:extent cx="127000" cy="350520"/>
                <wp:effectExtent l="0" t="0" r="0" b="0"/>
                <wp:wrapSquare wrapText="right"/>
                <wp:docPr id="115" name="Frame1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interest will be payable in cash or additional debt securities at our or the holders’ option and the terms and conditions upon which the election may be made; </w:t>
      </w:r>
      <w:r>
        <mc:AlternateContent>
          <mc:Choice Requires="wps">
            <w:drawing>
              <wp:anchor behindDoc="0" distT="78740" distB="0" distL="254000" distR="0" simplePos="0" locked="0" layoutInCell="1" allowOverlap="1" relativeHeight="118">
                <wp:simplePos x="0" y="0"/>
                <wp:positionH relativeFrom="column">
                  <wp:align>left</wp:align>
                </wp:positionH>
                <wp:positionV relativeFrom="line">
                  <wp:align>top</wp:align>
                </wp:positionV>
                <wp:extent cx="127000" cy="350520"/>
                <wp:effectExtent l="0" t="0" r="0" b="0"/>
                <wp:wrapSquare wrapText="right"/>
                <wp:docPr id="116" name="Frame1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and conditions, if any, upon which we will pay amounts in addition to the stated interest, premium, if any, and principal amounts of the debt securities of the series to any holder that is not a “United States person” for federal tax purposes; </w:t>
      </w:r>
      <w:r>
        <mc:AlternateContent>
          <mc:Choice Requires="wps">
            <w:drawing>
              <wp:anchor behindDoc="0" distT="80010" distB="0" distL="254000" distR="0" simplePos="0" locked="0" layoutInCell="1" allowOverlap="1" relativeHeight="119">
                <wp:simplePos x="0" y="0"/>
                <wp:positionH relativeFrom="column">
                  <wp:align>left</wp:align>
                </wp:positionH>
                <wp:positionV relativeFrom="line">
                  <wp:align>top</wp:align>
                </wp:positionV>
                <wp:extent cx="127000" cy="350520"/>
                <wp:effectExtent l="0" t="0" r="0" b="0"/>
                <wp:wrapSquare wrapText="right"/>
                <wp:docPr id="117" name="Frame1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restrictions on transfer, sale or assignment of the debt securities of the series; and </w:t>
      </w:r>
      <w:r>
        <mc:AlternateContent>
          <mc:Choice Requires="wps">
            <w:drawing>
              <wp:anchor behindDoc="0" distT="80010" distB="0" distL="254000" distR="0" simplePos="0" locked="0" layoutInCell="1" allowOverlap="1" relativeHeight="120">
                <wp:simplePos x="0" y="0"/>
                <wp:positionH relativeFrom="column">
                  <wp:align>left</wp:align>
                </wp:positionH>
                <wp:positionV relativeFrom="line">
                  <wp:align>top</wp:align>
                </wp:positionV>
                <wp:extent cx="127000" cy="350520"/>
                <wp:effectExtent l="0" t="0" r="0" b="0"/>
                <wp:wrapSquare wrapText="right"/>
                <wp:docPr id="118" name="Frame1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specific terms, preferences, rights or limitations of, or restrictions on, the debt securities, any other additions or changes in the provisions of the indenture, and any terms that may be required by us or advisable under applicable laws or regulations. </w:t>
      </w:r>
      <w:r>
        <mc:AlternateContent>
          <mc:Choice Requires="wps">
            <w:drawing>
              <wp:anchor behindDoc="0" distT="0" distB="0" distL="254000" distR="0" simplePos="0" locked="0" layoutInCell="1" allowOverlap="1" relativeHeight="121">
                <wp:simplePos x="0" y="0"/>
                <wp:positionH relativeFrom="column">
                  <wp:align>left</wp:align>
                </wp:positionH>
                <wp:positionV relativeFrom="line">
                  <wp:posOffset>635</wp:posOffset>
                </wp:positionV>
                <wp:extent cx="127000" cy="350520"/>
                <wp:effectExtent l="0" t="0" r="0" b="0"/>
                <wp:wrapSquare wrapText="right"/>
                <wp:docPr id="119" name="Frame1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Conversion or Exchange Rights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set forth in the applicable prospectus supplement the terms on which a series of debt securities may be convertible into or exchangeable for our common stock or our other securities. We will include provisions as to settlement upon conversion or exchange and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Consolidation, Merger or Sale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any successor to or acquirer of such assets (other than a subsidiary of ours) must assume all of our obligations under the indenture or the debt securities, as appropriate.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Events of Default under the Indenture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we provide otherwise in the prospectus supplement applicable to a particular series of debt securities, the following are events of default under the indenture with respect to any series of debt securities that we may issue: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fail to pay any installment of interest on any series of debt securities, as and when the same shall become due and payable, and such default continues for a period of 90 days; provided, however, that a valid extension of an interest payment period by us in accordance with the terms of any indenture supplemental thereto shall not constitute a default in the payment of interest for this purpose; </w:t>
      </w:r>
      <w:r>
        <mc:AlternateContent>
          <mc:Choice Requires="wps">
            <w:drawing>
              <wp:anchor behindDoc="0" distT="76200" distB="0" distL="254000" distR="0" simplePos="0" locked="0" layoutInCell="1" allowOverlap="1" relativeHeight="122">
                <wp:simplePos x="0" y="0"/>
                <wp:positionH relativeFrom="column">
                  <wp:align>left</wp:align>
                </wp:positionH>
                <wp:positionV relativeFrom="line">
                  <wp:align>top</wp:align>
                </wp:positionV>
                <wp:extent cx="127000" cy="350520"/>
                <wp:effectExtent l="0" t="0" r="0" b="0"/>
                <wp:wrapSquare wrapText="right"/>
                <wp:docPr id="120" name="Frame1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fail to pay the principal of, or premium, if any, on any series of debt securities as and when the same shall become due and payable whether at maturity, upon redemption, by declaration or otherwise, or in any payment required by any sinking or analogous fund established with respect to such series; provided, however, that a valid extension of the maturity of such debt securities in accordance with the terms of any indenture supplemental thereto shall not constitute a default in the payment of principal or premium, if any; </w:t>
      </w:r>
      <w:r>
        <mc:AlternateContent>
          <mc:Choice Requires="wps">
            <w:drawing>
              <wp:anchor behindDoc="0" distT="76200" distB="0" distL="254000" distR="0" simplePos="0" locked="0" layoutInCell="1" allowOverlap="1" relativeHeight="123">
                <wp:simplePos x="0" y="0"/>
                <wp:positionH relativeFrom="column">
                  <wp:align>left</wp:align>
                </wp:positionH>
                <wp:positionV relativeFrom="line">
                  <wp:align>top</wp:align>
                </wp:positionV>
                <wp:extent cx="127000" cy="350520"/>
                <wp:effectExtent l="0" t="0" r="0" b="0"/>
                <wp:wrapSquare wrapText="right"/>
                <wp:docPr id="121" name="Frame1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fail to observe or perform any other covenant or agreement contained in the debt securities or the indenture, other than a covenant specifically relating to another series of debt securities, and our failure 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 </w:t>
      </w:r>
      <w:r>
        <mc:AlternateContent>
          <mc:Choice Requires="wps">
            <w:drawing>
              <wp:anchor behindDoc="0" distT="76200" distB="0" distL="254000" distR="0" simplePos="0" locked="0" layoutInCell="1" allowOverlap="1" relativeHeight="124">
                <wp:simplePos x="0" y="0"/>
                <wp:positionH relativeFrom="column">
                  <wp:align>left</wp:align>
                </wp:positionH>
                <wp:positionV relativeFrom="line">
                  <wp:align>top</wp:align>
                </wp:positionV>
                <wp:extent cx="127000" cy="350520"/>
                <wp:effectExtent l="0" t="0" r="0" b="0"/>
                <wp:wrapSquare wrapText="right"/>
                <wp:docPr id="122" name="Frame1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specified events of bankruptcy, insolvency or reorganization occur. </w:t>
      </w:r>
      <w:r>
        <mc:AlternateContent>
          <mc:Choice Requires="wps">
            <w:drawing>
              <wp:anchor behindDoc="0" distT="76200" distB="0" distL="254000" distR="0" simplePos="0" locked="0" layoutInCell="1" allowOverlap="1" relativeHeight="125">
                <wp:simplePos x="0" y="0"/>
                <wp:positionH relativeFrom="column">
                  <wp:align>left</wp:align>
                </wp:positionH>
                <wp:positionV relativeFrom="line">
                  <wp:align>top</wp:align>
                </wp:positionV>
                <wp:extent cx="127000" cy="350520"/>
                <wp:effectExtent l="0" t="0" r="0" b="0"/>
                <wp:wrapSquare wrapText="right"/>
                <wp:docPr id="123" name="Frame1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trustee or any holder.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a majority in principal amount of the outstanding debt securities of an affected series may waive any default or event of default with respect to the series and its consequences, except defaults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events of default regarding payment of principal, premium, if any, or interest, unless we have cured the default or event of default in accordance with the indenture. Any waiver shall cure the default or event of default.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terms of the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direction so given by the holder is not in conflict with any law or the applicable indenture; and </w:t>
      </w:r>
      <w:r>
        <mc:AlternateContent>
          <mc:Choice Requires="wps">
            <w:drawing>
              <wp:anchor behindDoc="0" distT="72390" distB="0" distL="254000" distR="0" simplePos="0" locked="0" layoutInCell="1" allowOverlap="1" relativeHeight="126">
                <wp:simplePos x="0" y="0"/>
                <wp:positionH relativeFrom="column">
                  <wp:align>left</wp:align>
                </wp:positionH>
                <wp:positionV relativeFrom="line">
                  <wp:align>top</wp:align>
                </wp:positionV>
                <wp:extent cx="127000" cy="350520"/>
                <wp:effectExtent l="0" t="0" r="0" b="0"/>
                <wp:wrapSquare wrapText="right"/>
                <wp:docPr id="124" name="Frame1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its duties under the Trust Indenture Act, the trustee need not take any action that might involve it in personal liability or might be unduly prejudicial to the holders not involved in the proceeding. </w:t>
      </w:r>
      <w:r>
        <mc:AlternateContent>
          <mc:Choice Requires="wps">
            <w:drawing>
              <wp:anchor behindDoc="0" distT="72390" distB="0" distL="254000" distR="0" simplePos="0" locked="0" layoutInCell="1" allowOverlap="1" relativeHeight="127">
                <wp:simplePos x="0" y="0"/>
                <wp:positionH relativeFrom="column">
                  <wp:align>left</wp:align>
                </wp:positionH>
                <wp:positionV relativeFrom="line">
                  <wp:align>top</wp:align>
                </wp:positionV>
                <wp:extent cx="127000" cy="350520"/>
                <wp:effectExtent l="0" t="0" r="0" b="0"/>
                <wp:wrapSquare wrapText="right"/>
                <wp:docPr id="125" name="Frame1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holder of the debt securities of any series will have the right to institute a proceeding under the indenture or to appoint a receiver or trustee, or to seek other remedies only if: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 has given written notice to the trustee of a continuing event of default with respect to that series; </w:t>
      </w:r>
      <w:r>
        <mc:AlternateContent>
          <mc:Choice Requires="wps">
            <w:drawing>
              <wp:anchor behindDoc="0" distT="72390" distB="0" distL="254000" distR="0" simplePos="0" locked="0" layoutInCell="1" allowOverlap="1" relativeHeight="128">
                <wp:simplePos x="0" y="0"/>
                <wp:positionH relativeFrom="column">
                  <wp:align>left</wp:align>
                </wp:positionH>
                <wp:positionV relativeFrom="line">
                  <wp:align>top</wp:align>
                </wp:positionV>
                <wp:extent cx="127000" cy="350520"/>
                <wp:effectExtent l="0" t="0" r="0" b="0"/>
                <wp:wrapSquare wrapText="right"/>
                <wp:docPr id="126" name="Frame1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at least 25% in aggregate principal amount of the outstanding debt securities of that series have made written request; </w:t>
      </w:r>
      <w:r>
        <mc:AlternateContent>
          <mc:Choice Requires="wps">
            <w:drawing>
              <wp:anchor behindDoc="0" distT="72390" distB="0" distL="254000" distR="0" simplePos="0" locked="0" layoutInCell="1" allowOverlap="1" relativeHeight="129">
                <wp:simplePos x="0" y="0"/>
                <wp:positionH relativeFrom="column">
                  <wp:align>left</wp:align>
                </wp:positionH>
                <wp:positionV relativeFrom="line">
                  <wp:align>top</wp:align>
                </wp:positionV>
                <wp:extent cx="127000" cy="350520"/>
                <wp:effectExtent l="0" t="0" r="0" b="0"/>
                <wp:wrapSquare wrapText="right"/>
                <wp:docPr id="127" name="Frame1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holders have offered to the trustee indemnity satisfactory to it against the costs, expenses and liabilities to be incurred by the trustee in compliance with the request; and </w:t>
      </w:r>
      <w:r>
        <mc:AlternateContent>
          <mc:Choice Requires="wps">
            <w:drawing>
              <wp:anchor behindDoc="0" distT="72390" distB="0" distL="254000" distR="0" simplePos="0" locked="0" layoutInCell="1" allowOverlap="1" relativeHeight="130">
                <wp:simplePos x="0" y="0"/>
                <wp:positionH relativeFrom="column">
                  <wp:align>left</wp:align>
                </wp:positionH>
                <wp:positionV relativeFrom="line">
                  <wp:align>top</wp:align>
                </wp:positionV>
                <wp:extent cx="127000" cy="350520"/>
                <wp:effectExtent l="0" t="0" r="0" b="0"/>
                <wp:wrapSquare wrapText="right"/>
                <wp:docPr id="128" name="Frame1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trustee does not institute the proceeding, and does not receive from the holders of a majority in aggregate principal amount of the outstanding debt securities of that series other conflicting directions within 90 days after the notice, request and offer. </w:t>
      </w:r>
      <w:r>
        <mc:AlternateContent>
          <mc:Choice Requires="wps">
            <w:drawing>
              <wp:anchor behindDoc="0" distT="72390" distB="0" distL="254000" distR="0" simplePos="0" locked="0" layoutInCell="1" allowOverlap="1" relativeHeight="131">
                <wp:simplePos x="0" y="0"/>
                <wp:positionH relativeFrom="column">
                  <wp:align>left</wp:align>
                </wp:positionH>
                <wp:positionV relativeFrom="line">
                  <wp:align>top</wp:align>
                </wp:positionV>
                <wp:extent cx="127000" cy="350520"/>
                <wp:effectExtent l="0" t="0" r="0" b="0"/>
                <wp:wrapSquare wrapText="right"/>
                <wp:docPr id="129" name="Frame1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limitations do not apply to a suit instituted by a holder of debt securities if we default in the payment of the principal, premium, if any, or interest on, the debt securities.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periodically file statements with the trustee regarding our compliance with specified covenants in the indenture.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Modification of Indenture; Waiver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and the trustee may change an indenture without the consent of any holders with respect to specific matters: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cure any ambiguity, defect or inconsistency in the indenture or in the debt securities of any series; </w:t>
      </w:r>
      <w:r>
        <mc:AlternateContent>
          <mc:Choice Requires="wps">
            <w:drawing>
              <wp:anchor behindDoc="0" distT="73660" distB="0" distL="254000" distR="0" simplePos="0" locked="0" layoutInCell="1" allowOverlap="1" relativeHeight="132">
                <wp:simplePos x="0" y="0"/>
                <wp:positionH relativeFrom="column">
                  <wp:align>left</wp:align>
                </wp:positionH>
                <wp:positionV relativeFrom="line">
                  <wp:align>top</wp:align>
                </wp:positionV>
                <wp:extent cx="127000" cy="350520"/>
                <wp:effectExtent l="0" t="0" r="0" b="0"/>
                <wp:wrapSquare wrapText="right"/>
                <wp:docPr id="130" name="Frame1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comply with the provisions described above under “Description of Debt Securities-Consolidation, Merger or Sale;” </w:t>
      </w:r>
      <w:r>
        <mc:AlternateContent>
          <mc:Choice Requires="wps">
            <w:drawing>
              <wp:anchor behindDoc="0" distT="73660" distB="0" distL="254000" distR="0" simplePos="0" locked="0" layoutInCell="1" allowOverlap="1" relativeHeight="133">
                <wp:simplePos x="0" y="0"/>
                <wp:positionH relativeFrom="column">
                  <wp:align>left</wp:align>
                </wp:positionH>
                <wp:positionV relativeFrom="line">
                  <wp:align>top</wp:align>
                </wp:positionV>
                <wp:extent cx="127000" cy="350520"/>
                <wp:effectExtent l="0" t="0" r="0" b="0"/>
                <wp:wrapSquare wrapText="right"/>
                <wp:docPr id="131" name="Frame1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provide for uncertificated debt securities in addition to or in place of certificated debt securities; </w:t>
      </w:r>
      <w:r>
        <mc:AlternateContent>
          <mc:Choice Requires="wps">
            <w:drawing>
              <wp:anchor behindDoc="0" distT="73660" distB="0" distL="254000" distR="0" simplePos="0" locked="0" layoutInCell="1" allowOverlap="1" relativeHeight="134">
                <wp:simplePos x="0" y="0"/>
                <wp:positionH relativeFrom="column">
                  <wp:align>left</wp:align>
                </wp:positionH>
                <wp:positionV relativeFrom="line">
                  <wp:align>top</wp:align>
                </wp:positionV>
                <wp:extent cx="127000" cy="350520"/>
                <wp:effectExtent l="0" t="0" r="0" b="0"/>
                <wp:wrapSquare wrapText="right"/>
                <wp:docPr id="132" name="Frame1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add to our covenants, restrictions, conditions or provisions such new covenants, restrictions, conditions or provisions for the benefit of the holders of all or any series of debt securities, to make the occurrence, or the occurrence and the continuance, of a default in any such additional covenants, restrictions, conditions or provisions an event of default or to surrender any right or power conferred upon us in the indenture; </w:t>
      </w:r>
      <w:r>
        <mc:AlternateContent>
          <mc:Choice Requires="wps">
            <w:drawing>
              <wp:anchor behindDoc="0" distT="73660" distB="0" distL="254000" distR="0" simplePos="0" locked="0" layoutInCell="1" allowOverlap="1" relativeHeight="135">
                <wp:simplePos x="0" y="0"/>
                <wp:positionH relativeFrom="column">
                  <wp:align>left</wp:align>
                </wp:positionH>
                <wp:positionV relativeFrom="line">
                  <wp:align>top</wp:align>
                </wp:positionV>
                <wp:extent cx="127000" cy="350520"/>
                <wp:effectExtent l="0" t="0" r="0" b="0"/>
                <wp:wrapSquare wrapText="right"/>
                <wp:docPr id="133" name="Frame1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add to, delete from or revise the conditions, limitations, and restrictions on the authorized amount, terms, or purposes of issue, authentication and delivery of debt securities, as set forth in the indenture; </w:t>
      </w:r>
      <w:r>
        <mc:AlternateContent>
          <mc:Choice Requires="wps">
            <w:drawing>
              <wp:anchor behindDoc="0" distT="73660" distB="0" distL="254000" distR="0" simplePos="0" locked="0" layoutInCell="1" allowOverlap="1" relativeHeight="136">
                <wp:simplePos x="0" y="0"/>
                <wp:positionH relativeFrom="column">
                  <wp:align>left</wp:align>
                </wp:positionH>
                <wp:positionV relativeFrom="line">
                  <wp:align>top</wp:align>
                </wp:positionV>
                <wp:extent cx="127000" cy="350520"/>
                <wp:effectExtent l="0" t="0" r="0" b="0"/>
                <wp:wrapSquare wrapText="right"/>
                <wp:docPr id="134" name="Frame1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make any change that does not adversely affect the interests of any holder of debt securities of any series in any material respect; </w:t>
      </w:r>
      <w:r>
        <mc:AlternateContent>
          <mc:Choice Requires="wps">
            <w:drawing>
              <wp:anchor behindDoc="0" distT="73660" distB="0" distL="254000" distR="0" simplePos="0" locked="0" layoutInCell="1" allowOverlap="1" relativeHeight="137">
                <wp:simplePos x="0" y="0"/>
                <wp:positionH relativeFrom="column">
                  <wp:align>left</wp:align>
                </wp:positionH>
                <wp:positionV relativeFrom="line">
                  <wp:align>top</wp:align>
                </wp:positionV>
                <wp:extent cx="127000" cy="350520"/>
                <wp:effectExtent l="0" t="0" r="0" b="0"/>
                <wp:wrapSquare wrapText="right"/>
                <wp:docPr id="135" name="Frame1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provide for the issuance of and establish the form and terms and conditions of the debt securities of any series as provided above under “Description of Debt Securities-General” to establish the form of any certifications required to be furnished pursuant to the terms of the indenture or any series of debt securities, or to add to the rights of the holders of any series of debt securities; </w:t>
      </w:r>
      <w:r>
        <mc:AlternateContent>
          <mc:Choice Requires="wps">
            <w:drawing>
              <wp:anchor behindDoc="0" distT="0" distB="0" distL="254000" distR="0" simplePos="0" locked="0" layoutInCell="1" allowOverlap="1" relativeHeight="138">
                <wp:simplePos x="0" y="0"/>
                <wp:positionH relativeFrom="column">
                  <wp:align>left</wp:align>
                </wp:positionH>
                <wp:positionV relativeFrom="line">
                  <wp:posOffset>635</wp:posOffset>
                </wp:positionV>
                <wp:extent cx="127000" cy="350520"/>
                <wp:effectExtent l="0" t="0" r="0" b="0"/>
                <wp:wrapSquare wrapText="right"/>
                <wp:docPr id="136" name="Frame1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evidence and provide for the acceptance of appointment under any indenture by a successor trustee; or </w:t>
      </w:r>
      <w:r>
        <mc:AlternateContent>
          <mc:Choice Requires="wps">
            <w:drawing>
              <wp:anchor behindDoc="0" distT="72390" distB="0" distL="254000" distR="0" simplePos="0" locked="0" layoutInCell="1" allowOverlap="1" relativeHeight="139">
                <wp:simplePos x="0" y="0"/>
                <wp:positionH relativeFrom="column">
                  <wp:align>left</wp:align>
                </wp:positionH>
                <wp:positionV relativeFrom="line">
                  <wp:align>top</wp:align>
                </wp:positionV>
                <wp:extent cx="127000" cy="350520"/>
                <wp:effectExtent l="0" t="0" r="0" b="0"/>
                <wp:wrapSquare wrapText="right"/>
                <wp:docPr id="137" name="Frame1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comply with any requirements of the SEC in connection with the qualification of any indenture under the Trust Indenture Act. </w:t>
      </w:r>
      <w:r>
        <mc:AlternateContent>
          <mc:Choice Requires="wps">
            <w:drawing>
              <wp:anchor behindDoc="0" distT="72390" distB="0" distL="254000" distR="0" simplePos="0" locked="0" layoutInCell="1" allowOverlap="1" relativeHeight="140">
                <wp:simplePos x="0" y="0"/>
                <wp:positionH relativeFrom="column">
                  <wp:align>left</wp:align>
                </wp:positionH>
                <wp:positionV relativeFrom="line">
                  <wp:align>top</wp:align>
                </wp:positionV>
                <wp:extent cx="127000" cy="350520"/>
                <wp:effectExtent l="0" t="0" r="0" b="0"/>
                <wp:wrapSquare wrapText="right"/>
                <wp:docPr id="138" name="Frame1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make the following changes only with the consent of each holder of any outstanding debt securities affected: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extending the fixed maturity of any debt securities of any series; </w:t>
      </w:r>
      <w:r>
        <mc:AlternateContent>
          <mc:Choice Requires="wps">
            <w:drawing>
              <wp:anchor behindDoc="0" distT="72390" distB="0" distL="254000" distR="0" simplePos="0" locked="0" layoutInCell="1" allowOverlap="1" relativeHeight="141">
                <wp:simplePos x="0" y="0"/>
                <wp:positionH relativeFrom="column">
                  <wp:align>left</wp:align>
                </wp:positionH>
                <wp:positionV relativeFrom="line">
                  <wp:align>top</wp:align>
                </wp:positionV>
                <wp:extent cx="127000" cy="350520"/>
                <wp:effectExtent l="0" t="0" r="0" b="0"/>
                <wp:wrapSquare wrapText="right"/>
                <wp:docPr id="139" name="Frame1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reducing the principal amount, reducing the rate of or extending the time of payment of interest, or reducing any premium payable upon the redemption of any series of any debt securities; or </w:t>
      </w:r>
      <w:r>
        <mc:AlternateContent>
          <mc:Choice Requires="wps">
            <w:drawing>
              <wp:anchor behindDoc="0" distT="72390" distB="0" distL="254000" distR="0" simplePos="0" locked="0" layoutInCell="1" allowOverlap="1" relativeHeight="142">
                <wp:simplePos x="0" y="0"/>
                <wp:positionH relativeFrom="column">
                  <wp:align>left</wp:align>
                </wp:positionH>
                <wp:positionV relativeFrom="line">
                  <wp:align>top</wp:align>
                </wp:positionV>
                <wp:extent cx="127000" cy="350520"/>
                <wp:effectExtent l="0" t="0" r="0" b="0"/>
                <wp:wrapSquare wrapText="right"/>
                <wp:docPr id="140" name="Frame1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reducing the percentage of debt securities, the holders of which are required to consent to any amendment, supplement, modification or waiver. </w:t>
      </w:r>
      <w:r>
        <mc:AlternateContent>
          <mc:Choice Requires="wps">
            <w:drawing>
              <wp:anchor behindDoc="0" distT="72390" distB="0" distL="254000" distR="0" simplePos="0" locked="0" layoutInCell="1" allowOverlap="1" relativeHeight="143">
                <wp:simplePos x="0" y="0"/>
                <wp:positionH relativeFrom="column">
                  <wp:align>left</wp:align>
                </wp:positionH>
                <wp:positionV relativeFrom="line">
                  <wp:align>top</wp:align>
                </wp:positionV>
                <wp:extent cx="127000" cy="350520"/>
                <wp:effectExtent l="0" t="0" r="0" b="0"/>
                <wp:wrapSquare wrapText="right"/>
                <wp:docPr id="141" name="Frame1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Discharge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provides that we can elect to be discharged from our obligations with respect to one or more series of debt securities, except for specified obligations, including obligations to: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 for payment; </w:t>
      </w:r>
      <w:r>
        <mc:AlternateContent>
          <mc:Choice Requires="wps">
            <w:drawing>
              <wp:anchor behindDoc="0" distT="72390" distB="0" distL="254000" distR="0" simplePos="0" locked="0" layoutInCell="1" allowOverlap="1" relativeHeight="144">
                <wp:simplePos x="0" y="0"/>
                <wp:positionH relativeFrom="column">
                  <wp:align>left</wp:align>
                </wp:positionH>
                <wp:positionV relativeFrom="line">
                  <wp:align>top</wp:align>
                </wp:positionV>
                <wp:extent cx="127000" cy="350520"/>
                <wp:effectExtent l="0" t="0" r="0" b="0"/>
                <wp:wrapSquare wrapText="right"/>
                <wp:docPr id="142" name="Frame1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register the transfer or exchange of debt securities of the series; </w:t>
      </w:r>
      <w:r>
        <mc:AlternateContent>
          <mc:Choice Requires="wps">
            <w:drawing>
              <wp:anchor behindDoc="0" distT="72390" distB="0" distL="254000" distR="0" simplePos="0" locked="0" layoutInCell="1" allowOverlap="1" relativeHeight="145">
                <wp:simplePos x="0" y="0"/>
                <wp:positionH relativeFrom="column">
                  <wp:align>left</wp:align>
                </wp:positionH>
                <wp:positionV relativeFrom="line">
                  <wp:align>top</wp:align>
                </wp:positionV>
                <wp:extent cx="127000" cy="350520"/>
                <wp:effectExtent l="0" t="0" r="0" b="0"/>
                <wp:wrapSquare wrapText="right"/>
                <wp:docPr id="143" name="Frame1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replace stolen, lost or mutilated debt securities of the series; </w:t>
      </w:r>
      <w:r>
        <mc:AlternateContent>
          <mc:Choice Requires="wps">
            <w:drawing>
              <wp:anchor behindDoc="0" distT="72390" distB="0" distL="254000" distR="0" simplePos="0" locked="0" layoutInCell="1" allowOverlap="1" relativeHeight="146">
                <wp:simplePos x="0" y="0"/>
                <wp:positionH relativeFrom="column">
                  <wp:align>left</wp:align>
                </wp:positionH>
                <wp:positionV relativeFrom="line">
                  <wp:align>top</wp:align>
                </wp:positionV>
                <wp:extent cx="127000" cy="350520"/>
                <wp:effectExtent l="0" t="0" r="0" b="0"/>
                <wp:wrapSquare wrapText="right"/>
                <wp:docPr id="144" name="Frame1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 principal of and premium and interest on any debt securities of the series; </w:t>
      </w:r>
      <w:r>
        <mc:AlternateContent>
          <mc:Choice Requires="wps">
            <w:drawing>
              <wp:anchor behindDoc="0" distT="72390" distB="0" distL="254000" distR="0" simplePos="0" locked="0" layoutInCell="1" allowOverlap="1" relativeHeight="147">
                <wp:simplePos x="0" y="0"/>
                <wp:positionH relativeFrom="column">
                  <wp:align>left</wp:align>
                </wp:positionH>
                <wp:positionV relativeFrom="line">
                  <wp:align>top</wp:align>
                </wp:positionV>
                <wp:extent cx="127000" cy="350520"/>
                <wp:effectExtent l="0" t="0" r="0" b="0"/>
                <wp:wrapSquare wrapText="right"/>
                <wp:docPr id="145" name="Frame1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maintain paying agencies; </w:t>
      </w:r>
      <w:r>
        <mc:AlternateContent>
          <mc:Choice Requires="wps">
            <w:drawing>
              <wp:anchor behindDoc="0" distT="72390" distB="0" distL="254000" distR="0" simplePos="0" locked="0" layoutInCell="1" allowOverlap="1" relativeHeight="148">
                <wp:simplePos x="0" y="0"/>
                <wp:positionH relativeFrom="column">
                  <wp:align>left</wp:align>
                </wp:positionH>
                <wp:positionV relativeFrom="line">
                  <wp:align>top</wp:align>
                </wp:positionV>
                <wp:extent cx="127000" cy="350520"/>
                <wp:effectExtent l="0" t="0" r="0" b="0"/>
                <wp:wrapSquare wrapText="right"/>
                <wp:docPr id="146" name="Frame1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 monies for payment in trust; </w:t>
      </w:r>
      <w:r>
        <mc:AlternateContent>
          <mc:Choice Requires="wps">
            <w:drawing>
              <wp:anchor behindDoc="0" distT="72390" distB="0" distL="254000" distR="0" simplePos="0" locked="0" layoutInCell="1" allowOverlap="1" relativeHeight="149">
                <wp:simplePos x="0" y="0"/>
                <wp:positionH relativeFrom="column">
                  <wp:align>left</wp:align>
                </wp:positionH>
                <wp:positionV relativeFrom="line">
                  <wp:align>top</wp:align>
                </wp:positionV>
                <wp:extent cx="127000" cy="350520"/>
                <wp:effectExtent l="0" t="0" r="0" b="0"/>
                <wp:wrapSquare wrapText="right"/>
                <wp:docPr id="147" name="Frame1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recover excess money held by the trustee; </w:t>
      </w:r>
      <w:r>
        <mc:AlternateContent>
          <mc:Choice Requires="wps">
            <w:drawing>
              <wp:anchor behindDoc="0" distT="72390" distB="0" distL="254000" distR="0" simplePos="0" locked="0" layoutInCell="1" allowOverlap="1" relativeHeight="150">
                <wp:simplePos x="0" y="0"/>
                <wp:positionH relativeFrom="column">
                  <wp:align>left</wp:align>
                </wp:positionH>
                <wp:positionV relativeFrom="line">
                  <wp:align>top</wp:align>
                </wp:positionV>
                <wp:extent cx="127000" cy="350520"/>
                <wp:effectExtent l="0" t="0" r="0" b="0"/>
                <wp:wrapSquare wrapText="right"/>
                <wp:docPr id="148" name="Frame1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compensate and indemnify the trustee; and </w:t>
      </w:r>
      <w:r>
        <mc:AlternateContent>
          <mc:Choice Requires="wps">
            <w:drawing>
              <wp:anchor behindDoc="0" distT="73660" distB="0" distL="254000" distR="0" simplePos="0" locked="0" layoutInCell="1" allowOverlap="1" relativeHeight="151">
                <wp:simplePos x="0" y="0"/>
                <wp:positionH relativeFrom="column">
                  <wp:align>left</wp:align>
                </wp:positionH>
                <wp:positionV relativeFrom="line">
                  <wp:align>top</wp:align>
                </wp:positionV>
                <wp:extent cx="127000" cy="350520"/>
                <wp:effectExtent l="0" t="0" r="0" b="0"/>
                <wp:wrapSquare wrapText="right"/>
                <wp:docPr id="149" name="Frame1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appoint any successor trustee. </w:t>
      </w:r>
      <w:r>
        <mc:AlternateContent>
          <mc:Choice Requires="wps">
            <w:drawing>
              <wp:anchor behindDoc="0" distT="73660" distB="0" distL="254000" distR="0" simplePos="0" locked="0" layoutInCell="1" allowOverlap="1" relativeHeight="152">
                <wp:simplePos x="0" y="0"/>
                <wp:positionH relativeFrom="column">
                  <wp:align>left</wp:align>
                </wp:positionH>
                <wp:positionV relativeFrom="line">
                  <wp:align>top</wp:align>
                </wp:positionV>
                <wp:extent cx="127000" cy="350520"/>
                <wp:effectExtent l="0" t="0" r="0" b="0"/>
                <wp:wrapSquare wrapText="right"/>
                <wp:docPr id="150" name="Frame1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order to exercise our rights to be discharged, we must deposit with the trustee money or government obligations sufficient to pay all the principal of, any premium, if any, and interest on, the debt securities of the series on the dates payments are due.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Form, Exchange and Transfer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issue the debt securities of each series only in fully registered form without coupons and, unless we provide otherwise in the applicable prospectus supplement, in denominations of $1,000 and any integral multiple thereof. The indenture provides that we may issue debt securities of a series in temporary or permanent global form and as book-entry securities that will be deposited with, or on behalf of, The Depository Trust Company (“DTC”), or another depositary named by us and identified in the applicable prospectus supplement with respect to that series. To the extent the debt securities of a series are issued in global form and as book-entry, a description of terms relating to any book-entry securities will be set forth in the applicable prospectus supplement.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option of the holder, subject to the terms of the indenture and the limitations applicable to global securities described in the applicable prospectus supplement, the holder of the debt securities of 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series can exchange the debt securities for other debt securities of the same series, in any authorized denomination and of like tenor and aggregate principal amount.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terms of the indenture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elect to redeem the debt securities of any series, we will not be required to: </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 </w:t>
      </w:r>
      <w:r>
        <mc:AlternateContent>
          <mc:Choice Requires="wps">
            <w:drawing>
              <wp:anchor behindDoc="0" distT="82550" distB="0" distL="254000" distR="0" simplePos="0" locked="0" layoutInCell="1" allowOverlap="1" relativeHeight="153">
                <wp:simplePos x="0" y="0"/>
                <wp:positionH relativeFrom="column">
                  <wp:align>left</wp:align>
                </wp:positionH>
                <wp:positionV relativeFrom="line">
                  <wp:align>top</wp:align>
                </wp:positionV>
                <wp:extent cx="127000" cy="350520"/>
                <wp:effectExtent l="0" t="0" r="0" b="0"/>
                <wp:wrapSquare wrapText="right"/>
                <wp:docPr id="151" name="Frame1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register the transfer of or exchange of any debt securities so selected for redemption, in whole or in part, except the unredeemed portion of any debt securities we are redeeming in part. </w:t>
      </w:r>
      <w:r>
        <mc:AlternateContent>
          <mc:Choice Requires="wps">
            <w:drawing>
              <wp:anchor behindDoc="0" distT="82550" distB="0" distL="254000" distR="0" simplePos="0" locked="0" layoutInCell="1" allowOverlap="1" relativeHeight="154">
                <wp:simplePos x="0" y="0"/>
                <wp:positionH relativeFrom="column">
                  <wp:align>left</wp:align>
                </wp:positionH>
                <wp:positionV relativeFrom="line">
                  <wp:align>top</wp:align>
                </wp:positionV>
                <wp:extent cx="127000" cy="350520"/>
                <wp:effectExtent l="0" t="0" r="0" b="0"/>
                <wp:wrapSquare wrapText="right"/>
                <wp:docPr id="152" name="Frame1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Information Concerning the Trustee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it by the indenture at the request of any holder of debt securities unless it is offered reasonable security and indemnity against the costs, expenses and liabilities that it might incur.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Payment and Paying Agents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68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Governing Law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and the debt securities will be governed by and construed in accordance with the internal laws of the State of New York, except to the extent that the Trust Indenture Act is applicable.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 w:name="sDOW"/>
      <w:bookmarkEnd w:id="2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WARRANTS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description, together with the additional information we may include in any applicable prospectus supplements and free writing prospectuses, summarizes the material terms and provisions of the warrants that we may offer under this prospectus, which may consist of warrants to purchase common stock, preferred stock or debt securities and may be issued in one or more series. Warrants may be issued independently or together with common stock, preferred stock or debt securities offered by any prospectus supplement, and may be attached to or separate from those securities. While the terms we have summarized below will apply generally to any warrants that we may offer under this prospectus, we will describe the particular terms of any series of warrants that we may offer in more detail in the applicable prospectus supplement and any applicable free writing prospectus. The terms of any warrants offered under a prospectus supplement may differ from the terms described below. However, no prospectus supplement will fundamentally change the terms that are set forth in this prospectus or offer a security that is not registered and described in this prospectus at the time of its effectiveness.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filed forms of the warrant agreements as exhibits to the registration statement of which this prospectus is a part. We will file as exhibits to the registration statement of which this prospectus is a part, or will incorporate by reference from reports that we file with the SEC, the form of warrant agreement, if any, including a form of warrant certificate, that describes the terms of the particular series of warrants we are offering. The following summaries of material provisions of the warrants and the warrant agreements are subject to, and qualified in their entirety by reference to, all the provisions of the warrant agreement and warrant certificate applicable to the particular series of warrants that we may offer under this prospectus. We urge you to read the applicable prospectus supplements related to the particular series of warrants that we may offer under this prospectus, as well as any related free writing prospectuses, and the complete warrant agreements and warrant certificates that contain the terms of the warrants.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describe in the applicable prospectus supplement the terms relating to a series of warrants being offered, including, to the extent applicable: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title of such securities; </w:t>
      </w:r>
      <w:r>
        <mc:AlternateContent>
          <mc:Choice Requires="wps">
            <w:drawing>
              <wp:anchor behindDoc="0" distT="73660" distB="0" distL="254000" distR="0" simplePos="0" locked="0" layoutInCell="1" allowOverlap="1" relativeHeight="155">
                <wp:simplePos x="0" y="0"/>
                <wp:positionH relativeFrom="column">
                  <wp:align>left</wp:align>
                </wp:positionH>
                <wp:positionV relativeFrom="line">
                  <wp:align>top</wp:align>
                </wp:positionV>
                <wp:extent cx="127000" cy="350520"/>
                <wp:effectExtent l="0" t="0" r="0" b="0"/>
                <wp:wrapSquare wrapText="right"/>
                <wp:docPr id="153" name="Frame1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offering price or prices and aggregate number of warrants offered; </w:t>
      </w:r>
      <w:r>
        <mc:AlternateContent>
          <mc:Choice Requires="wps">
            <w:drawing>
              <wp:anchor behindDoc="0" distT="73660" distB="0" distL="254000" distR="0" simplePos="0" locked="0" layoutInCell="1" allowOverlap="1" relativeHeight="156">
                <wp:simplePos x="0" y="0"/>
                <wp:positionH relativeFrom="column">
                  <wp:align>left</wp:align>
                </wp:positionH>
                <wp:positionV relativeFrom="line">
                  <wp:align>top</wp:align>
                </wp:positionV>
                <wp:extent cx="127000" cy="350520"/>
                <wp:effectExtent l="0" t="0" r="0" b="0"/>
                <wp:wrapSquare wrapText="right"/>
                <wp:docPr id="154" name="Frame1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currency or currencies for which the warrants may be purchased; </w:t>
      </w:r>
      <w:r>
        <mc:AlternateContent>
          <mc:Choice Requires="wps">
            <w:drawing>
              <wp:anchor behindDoc="0" distT="73660" distB="0" distL="254000" distR="0" simplePos="0" locked="0" layoutInCell="1" allowOverlap="1" relativeHeight="157">
                <wp:simplePos x="0" y="0"/>
                <wp:positionH relativeFrom="column">
                  <wp:align>left</wp:align>
                </wp:positionH>
                <wp:positionV relativeFrom="line">
                  <wp:align>top</wp:align>
                </wp:positionV>
                <wp:extent cx="127000" cy="350520"/>
                <wp:effectExtent l="0" t="0" r="0" b="0"/>
                <wp:wrapSquare wrapText="right"/>
                <wp:docPr id="155" name="Frame1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applicable, the designation and terms of the securities with which the warrants are issued and the number of warrants issued with each such security or each principal amount of such security; </w:t>
      </w:r>
      <w:r>
        <mc:AlternateContent>
          <mc:Choice Requires="wps">
            <w:drawing>
              <wp:anchor behindDoc="0" distT="74930" distB="0" distL="254000" distR="0" simplePos="0" locked="0" layoutInCell="1" allowOverlap="1" relativeHeight="158">
                <wp:simplePos x="0" y="0"/>
                <wp:positionH relativeFrom="column">
                  <wp:align>left</wp:align>
                </wp:positionH>
                <wp:positionV relativeFrom="line">
                  <wp:align>top</wp:align>
                </wp:positionV>
                <wp:extent cx="127000" cy="350520"/>
                <wp:effectExtent l="0" t="0" r="0" b="0"/>
                <wp:wrapSquare wrapText="right"/>
                <wp:docPr id="156" name="Frame1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applicable, the date on and after which the warrants and the related securities will be separately transferable; </w:t>
      </w:r>
      <w:r>
        <mc:AlternateContent>
          <mc:Choice Requires="wps">
            <w:drawing>
              <wp:anchor behindDoc="0" distT="74930" distB="0" distL="254000" distR="0" simplePos="0" locked="0" layoutInCell="1" allowOverlap="1" relativeHeight="159">
                <wp:simplePos x="0" y="0"/>
                <wp:positionH relativeFrom="column">
                  <wp:align>left</wp:align>
                </wp:positionH>
                <wp:positionV relativeFrom="line">
                  <wp:align>top</wp:align>
                </wp:positionV>
                <wp:extent cx="127000" cy="350520"/>
                <wp:effectExtent l="0" t="0" r="0" b="0"/>
                <wp:wrapSquare wrapText="right"/>
                <wp:docPr id="157" name="Frame1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applicable, the minimum or maximum amount of such warrants which may be exercised at any one time; </w:t>
      </w:r>
      <w:r>
        <mc:AlternateContent>
          <mc:Choice Requires="wps">
            <w:drawing>
              <wp:anchor behindDoc="0" distT="74930" distB="0" distL="254000" distR="0" simplePos="0" locked="0" layoutInCell="1" allowOverlap="1" relativeHeight="160">
                <wp:simplePos x="0" y="0"/>
                <wp:positionH relativeFrom="column">
                  <wp:align>left</wp:align>
                </wp:positionH>
                <wp:positionV relativeFrom="line">
                  <wp:align>top</wp:align>
                </wp:positionV>
                <wp:extent cx="127000" cy="350520"/>
                <wp:effectExtent l="0" t="0" r="0" b="0"/>
                <wp:wrapSquare wrapText="right"/>
                <wp:docPr id="158" name="Frame1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warrants to purchase debt securities, the principal amount of debt securities purchasable upon exercise of one warrant and the price at which, and currency in which, this principal amount of debt securities may be purchased upon such exercise; </w:t>
      </w:r>
      <w:r>
        <mc:AlternateContent>
          <mc:Choice Requires="wps">
            <w:drawing>
              <wp:anchor behindDoc="0" distT="74930" distB="0" distL="254000" distR="0" simplePos="0" locked="0" layoutInCell="1" allowOverlap="1" relativeHeight="161">
                <wp:simplePos x="0" y="0"/>
                <wp:positionH relativeFrom="column">
                  <wp:align>left</wp:align>
                </wp:positionH>
                <wp:positionV relativeFrom="line">
                  <wp:align>top</wp:align>
                </wp:positionV>
                <wp:extent cx="127000" cy="350520"/>
                <wp:effectExtent l="0" t="0" r="0" b="0"/>
                <wp:wrapSquare wrapText="right"/>
                <wp:docPr id="159" name="Frame1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warrants to purchase common stock or preferred stock, the number of shares of common stock or preferred stock, as the case may be, purchasable upon the exercise of one warrant and the price at which, and the currency in which, these shares may be purchased upon such exercise; </w:t>
      </w:r>
      <w:r>
        <mc:AlternateContent>
          <mc:Choice Requires="wps">
            <w:drawing>
              <wp:anchor behindDoc="0" distT="74930" distB="0" distL="254000" distR="0" simplePos="0" locked="0" layoutInCell="1" allowOverlap="1" relativeHeight="162">
                <wp:simplePos x="0" y="0"/>
                <wp:positionH relativeFrom="column">
                  <wp:align>left</wp:align>
                </wp:positionH>
                <wp:positionV relativeFrom="line">
                  <wp:align>top</wp:align>
                </wp:positionV>
                <wp:extent cx="127000" cy="350520"/>
                <wp:effectExtent l="0" t="0" r="0" b="0"/>
                <wp:wrapSquare wrapText="right"/>
                <wp:docPr id="160" name="Frame1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 of any merger, consolidation, sale or other disposition of our business on the warrant agreements and the warrants; </w:t>
      </w:r>
      <w:r>
        <mc:AlternateContent>
          <mc:Choice Requires="wps">
            <w:drawing>
              <wp:anchor behindDoc="0" distT="74930" distB="0" distL="254000" distR="0" simplePos="0" locked="0" layoutInCell="1" allowOverlap="1" relativeHeight="163">
                <wp:simplePos x="0" y="0"/>
                <wp:positionH relativeFrom="column">
                  <wp:align>left</wp:align>
                </wp:positionH>
                <wp:positionV relativeFrom="line">
                  <wp:align>top</wp:align>
                </wp:positionV>
                <wp:extent cx="127000" cy="350520"/>
                <wp:effectExtent l="0" t="0" r="0" b="0"/>
                <wp:wrapSquare wrapText="right"/>
                <wp:docPr id="161" name="Frame1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of any rights to redeem or call the warrants; </w:t>
      </w:r>
      <w:r>
        <mc:AlternateContent>
          <mc:Choice Requires="wps">
            <w:drawing>
              <wp:anchor behindDoc="0" distT="74930" distB="0" distL="254000" distR="0" simplePos="0" locked="0" layoutInCell="1" allowOverlap="1" relativeHeight="164">
                <wp:simplePos x="0" y="0"/>
                <wp:positionH relativeFrom="column">
                  <wp:align>left</wp:align>
                </wp:positionH>
                <wp:positionV relativeFrom="line">
                  <wp:align>top</wp:align>
                </wp:positionV>
                <wp:extent cx="127000" cy="350520"/>
                <wp:effectExtent l="0" t="0" r="0" b="0"/>
                <wp:wrapSquare wrapText="right"/>
                <wp:docPr id="162" name="Frame1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of any rights to force the exercise of the warrants; </w:t>
      </w:r>
      <w:r>
        <mc:AlternateContent>
          <mc:Choice Requires="wps">
            <w:drawing>
              <wp:anchor behindDoc="0" distT="74930" distB="0" distL="254000" distR="0" simplePos="0" locked="0" layoutInCell="1" allowOverlap="1" relativeHeight="165">
                <wp:simplePos x="0" y="0"/>
                <wp:positionH relativeFrom="column">
                  <wp:align>left</wp:align>
                </wp:positionH>
                <wp:positionV relativeFrom="line">
                  <wp:align>top</wp:align>
                </wp:positionV>
                <wp:extent cx="127000" cy="350520"/>
                <wp:effectExtent l="0" t="0" r="0" b="0"/>
                <wp:wrapSquare wrapText="right"/>
                <wp:docPr id="163" name="Frame1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provisions for changes to or adjustments in the exercise price or number of securities issuable upon exercise of the warrants; </w:t>
      </w:r>
      <w:r>
        <mc:AlternateContent>
          <mc:Choice Requires="wps">
            <w:drawing>
              <wp:anchor behindDoc="0" distT="74930" distB="0" distL="254000" distR="0" simplePos="0" locked="0" layoutInCell="1" allowOverlap="1" relativeHeight="166">
                <wp:simplePos x="0" y="0"/>
                <wp:positionH relativeFrom="column">
                  <wp:align>left</wp:align>
                </wp:positionH>
                <wp:positionV relativeFrom="line">
                  <wp:align>top</wp:align>
                </wp:positionV>
                <wp:extent cx="127000" cy="350520"/>
                <wp:effectExtent l="0" t="0" r="0" b="0"/>
                <wp:wrapSquare wrapText="right"/>
                <wp:docPr id="164" name="Frame1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dates on which the right to exercise the warrants will commence and expire; </w:t>
      </w:r>
      <w:r>
        <mc:AlternateContent>
          <mc:Choice Requires="wps">
            <w:drawing>
              <wp:anchor behindDoc="0" distT="0" distB="0" distL="254000" distR="0" simplePos="0" locked="0" layoutInCell="1" allowOverlap="1" relativeHeight="167">
                <wp:simplePos x="0" y="0"/>
                <wp:positionH relativeFrom="column">
                  <wp:align>left</wp:align>
                </wp:positionH>
                <wp:positionV relativeFrom="line">
                  <wp:posOffset>635</wp:posOffset>
                </wp:positionV>
                <wp:extent cx="127000" cy="350520"/>
                <wp:effectExtent l="0" t="0" r="0" b="0"/>
                <wp:wrapSquare wrapText="right"/>
                <wp:docPr id="165" name="Frame1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manner in which the warrant agreements and warrants may be modified; </w:t>
      </w:r>
      <w:r>
        <mc:AlternateContent>
          <mc:Choice Requires="wps">
            <w:drawing>
              <wp:anchor behindDoc="0" distT="88900" distB="0" distL="254000" distR="0" simplePos="0" locked="0" layoutInCell="1" allowOverlap="1" relativeHeight="168">
                <wp:simplePos x="0" y="0"/>
                <wp:positionH relativeFrom="column">
                  <wp:align>left</wp:align>
                </wp:positionH>
                <wp:positionV relativeFrom="line">
                  <wp:align>top</wp:align>
                </wp:positionV>
                <wp:extent cx="127000" cy="350520"/>
                <wp:effectExtent l="0" t="0" r="0" b="0"/>
                <wp:wrapSquare wrapText="right"/>
                <wp:docPr id="166" name="Frame1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discussion of any material or special U.S. federal income tax consequences of holding or exercising the warrants; </w:t>
      </w:r>
      <w:r>
        <mc:AlternateContent>
          <mc:Choice Requires="wps">
            <w:drawing>
              <wp:anchor behindDoc="0" distT="88900" distB="0" distL="254000" distR="0" simplePos="0" locked="0" layoutInCell="1" allowOverlap="1" relativeHeight="169">
                <wp:simplePos x="0" y="0"/>
                <wp:positionH relativeFrom="column">
                  <wp:align>left</wp:align>
                </wp:positionH>
                <wp:positionV relativeFrom="line">
                  <wp:align>top</wp:align>
                </wp:positionV>
                <wp:extent cx="127000" cy="350520"/>
                <wp:effectExtent l="0" t="0" r="0" b="0"/>
                <wp:wrapSquare wrapText="right"/>
                <wp:docPr id="167" name="Frame1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of the securities issuable upon exercise of the warrants; and </w:t>
      </w:r>
      <w:r>
        <mc:AlternateContent>
          <mc:Choice Requires="wps">
            <w:drawing>
              <wp:anchor behindDoc="0" distT="88900" distB="0" distL="254000" distR="0" simplePos="0" locked="0" layoutInCell="1" allowOverlap="1" relativeHeight="170">
                <wp:simplePos x="0" y="0"/>
                <wp:positionH relativeFrom="column">
                  <wp:align>left</wp:align>
                </wp:positionH>
                <wp:positionV relativeFrom="line">
                  <wp:align>top</wp:align>
                </wp:positionV>
                <wp:extent cx="127000" cy="350520"/>
                <wp:effectExtent l="0" t="0" r="0" b="0"/>
                <wp:wrapSquare wrapText="right"/>
                <wp:docPr id="168" name="Frame1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specific terms, preferences, rights or limitations of or restrictions on the warrants. </w:t>
      </w:r>
      <w:r>
        <mc:AlternateContent>
          <mc:Choice Requires="wps">
            <w:drawing>
              <wp:anchor behindDoc="0" distT="88900" distB="0" distL="254000" distR="0" simplePos="0" locked="0" layoutInCell="1" allowOverlap="1" relativeHeight="171">
                <wp:simplePos x="0" y="0"/>
                <wp:positionH relativeFrom="column">
                  <wp:align>left</wp:align>
                </wp:positionH>
                <wp:positionV relativeFrom="line">
                  <wp:align>top</wp:align>
                </wp:positionV>
                <wp:extent cx="127000" cy="350520"/>
                <wp:effectExtent l="0" t="0" r="0" b="0"/>
                <wp:wrapSquare wrapText="right"/>
                <wp:docPr id="169" name="Frame1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Before exercising their warrants, holders of warrants will not have any of the rights of holders of the securities purchasable upon such exercise, including: </w:t>
      </w:r>
    </w:p>
    <w:p>
      <w:pPr>
        <w:pStyle w:val="TextBody"/>
        <w:bidi w:val="0"/>
        <w:spacing w:lineRule="atLeast" w:line="240" w:before="13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warrants to purchase debt securities, the right to receive payments of principal of, or premium, if any, or interest on, the debt securities purchasable upon exercise or to enforce covenants in the applicable indenture; or </w:t>
      </w:r>
      <w:r>
        <mc:AlternateContent>
          <mc:Choice Requires="wps">
            <w:drawing>
              <wp:anchor behindDoc="0" distT="86360" distB="0" distL="254000" distR="0" simplePos="0" locked="0" layoutInCell="1" allowOverlap="1" relativeHeight="172">
                <wp:simplePos x="0" y="0"/>
                <wp:positionH relativeFrom="column">
                  <wp:align>left</wp:align>
                </wp:positionH>
                <wp:positionV relativeFrom="line">
                  <wp:align>top</wp:align>
                </wp:positionV>
                <wp:extent cx="127000" cy="350520"/>
                <wp:effectExtent l="0" t="0" r="0" b="0"/>
                <wp:wrapSquare wrapText="right"/>
                <wp:docPr id="170" name="Frame1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8pt;mso-wrap-distance-bottom:0pt;margin-top:6.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warrants to purchase common stock or preferred stock, the right to receive dividends, if any, or, payments upon our liquidation, dissolution or winding up or to exercise voting rights, if any. </w:t>
      </w:r>
      <w:r>
        <mc:AlternateContent>
          <mc:Choice Requires="wps">
            <w:drawing>
              <wp:anchor behindDoc="0" distT="88900" distB="0" distL="254000" distR="0" simplePos="0" locked="0" layoutInCell="1" allowOverlap="1" relativeHeight="173">
                <wp:simplePos x="0" y="0"/>
                <wp:positionH relativeFrom="column">
                  <wp:align>left</wp:align>
                </wp:positionH>
                <wp:positionV relativeFrom="line">
                  <wp:align>top</wp:align>
                </wp:positionV>
                <wp:extent cx="127000" cy="350520"/>
                <wp:effectExtent l="0" t="0" r="0" b="0"/>
                <wp:wrapSquare wrapText="right"/>
                <wp:docPr id="171" name="Frame1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Exercise of Warrants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warrant will entitle the holder to purchase the securities that we specify in the applicable prospectus supplement at the exercise price that we describe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we otherwise specify in the applicable prospectus supplement, holders of the warrants may exercise the warrants by delivering the warrant certificate representing the warrants to be exercised together with specified information, and paying the required amount to the warrant agent in immediately available funds, as provided in the applicable prospectus supplement. We will set forth on the reverse side of the warrant certificate and in the applicable prospectus supplement the information that the holder of the warrant will be required to deliver to the warrant agent in connection with the exercise of the warrant.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receipt of the required payment and the warrant certificate properly completed and duly executed at the corporate trust office of the warrant agent or any other office indicated in the applicable prospectus supplement, we will issue and deliver the securities purchasable upon such exercise. If fewer than all of the warrants represented by the warrant certificate are exercised, then we will issue a new warrant certificate for the remaining amount of warrants. If we so indicate in the applicable prospectus supplement, holders of the warrants may surrender securities as all or part of the exercise price for warrants.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Governing Law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we provide otherwise in the applicable prospectus supplement, the warrants and warrant agreements, and any claim, controversy or dispute arising under or related to the warrants or warrant agreements, will be governed by and construed in accordance with the laws of the State of New York.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Enforceability of Rights by Holders of Warrants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warrant agent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 w:name="sLOOS"/>
      <w:bookmarkEnd w:id="2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OWNERSHIP OF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can issue securities in registered form or in the form of one or more global securities. We describe global securities in greater detail below. We refer to those persons who have securities registered in their own names on the books that we or any applicable trustee or depositary maintain for this purpose as the “holders” of those securities. These persons are the legal holders of the securities. We refer to those persons who, indirectly through others, own beneficial interests in securities that are not registered in their own names as “indirect holders” of those securities. As we discuss below, indirect holders are not legal holders and investors in securities issued in book-entry form or in street name will be indirect holders.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Book-Entry 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securities in book-entry form only, as we will specify in the applicable prospectus supplement. This means securities may be represented by one or more global securities registered in the name of a financial institution that holds them as depositary on behalf of other financial institutions that participate in the depositary’s book-entry system. These participating institutions, which are referred to as participants, in turn, hold beneficial interests in the securities on behalf of themselves or their customers.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Only the person in whose name a security is registered is recognized as the holder of that security. Global securities will be registered in the name of the depositary or its participants. Consequently, for global securities, we will recognize only the depositary as the holder of the securities, and we will make all payments on the securities to the depositary. The depositary passes along the payments it receives to its participants, which in turn pass the payments along to their customers who are the beneficial owners. The depositary and its participants do so under agreements they have made with one another or with their customers; they are not obligated to do so under the terms of the securities.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result, investors in a global security will not own securities directly. Instead, they will own beneficial interests in a global security, through a bank, broker or other financial institution that participates in the depositary’s book-entry system or holds an interest through a participant. As long as the securities are issued in global form, investors will be indirect holders, and not legal holders, of the securities.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Street Name 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global security may be terminated in certain situations as described under “Special Situations When a Global Security Will Be Terminated,” or issue securities that are not issued in global form. In these cases, investors may choose to hold their securities in their own names or in “street name.” Securities held by an investor in street name would be registered in the name of a bank, broker or other financial institution that the investor chooses, and the investor would hold only a beneficial interest in those securities through an account he or she maintains at that institution.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securities held in street name, we or any applicable trustee or depositary will recognize only the intermediary banks, brokers and other financial institutions in whose names the securities are registered as the holders of those securities, and we or any such trustee or depositary will make all payments on those securities to them. These institutions pass along the payments they receive to their customers who are the beneficial owners, but only because they agree to do so in their customer agreements or because they are legally required to do so. Investors who hold securities in street name will be indirect holders, not holders, of those securities.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obligations, as well as the obligations of any applicable trustee or third party employed by us or a trustee, run only to the legal holders of the securities. We do not have obligations to investors who hold beneficial interests in global securities, in street name or by any other indirect means. This will be the case whether an investor chooses to be an indirect holder of a security or has no choice because we are issuing the securities only in global form.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example, once we make a payment or give a notice to the legal holder, we have no further responsibility for the payment or notice even if that legal holder is required, under agreements with its participants or customers or by law, to pass it along to the indirect holders but does not do so. Similarly, we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may want to obtain the approval of the holders to amend an indenture, to relieve us of the consequences of a default or of our obligation to comply with a particular provision of an indenture, or for other purposes. In such an event, we would seek approval only from the legal holders, and not the indirect holders, of the securities. Whether and how the legal holders contact the indirect holders is up to the legal holders.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Special Considerations for Indirect 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hold securities through a bank, broker or other financial institution, either in book-entry form because the securities are represented by one or more global securities or in street name, you should check with your own institution to find out: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 it handles securities payments and notices; </w:t>
      </w:r>
      <w:r>
        <mc:AlternateContent>
          <mc:Choice Requires="wps">
            <w:drawing>
              <wp:anchor behindDoc="0" distT="76200" distB="0" distL="254000" distR="0" simplePos="0" locked="0" layoutInCell="1" allowOverlap="1" relativeHeight="174">
                <wp:simplePos x="0" y="0"/>
                <wp:positionH relativeFrom="column">
                  <wp:align>left</wp:align>
                </wp:positionH>
                <wp:positionV relativeFrom="line">
                  <wp:align>top</wp:align>
                </wp:positionV>
                <wp:extent cx="127000" cy="350520"/>
                <wp:effectExtent l="0" t="0" r="0" b="0"/>
                <wp:wrapSquare wrapText="right"/>
                <wp:docPr id="172" name="Frame1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it imposes fees or charges; </w:t>
      </w:r>
      <w:r>
        <mc:AlternateContent>
          <mc:Choice Requires="wps">
            <w:drawing>
              <wp:anchor behindDoc="0" distT="76200" distB="0" distL="254000" distR="0" simplePos="0" locked="0" layoutInCell="1" allowOverlap="1" relativeHeight="175">
                <wp:simplePos x="0" y="0"/>
                <wp:positionH relativeFrom="column">
                  <wp:align>left</wp:align>
                </wp:positionH>
                <wp:positionV relativeFrom="line">
                  <wp:align>top</wp:align>
                </wp:positionV>
                <wp:extent cx="127000" cy="350520"/>
                <wp:effectExtent l="0" t="0" r="0" b="0"/>
                <wp:wrapSquare wrapText="right"/>
                <wp:docPr id="173" name="Frame1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 it would handle a request for the holders’ consent, if ever required; </w:t>
      </w:r>
      <w:r>
        <mc:AlternateContent>
          <mc:Choice Requires="wps">
            <w:drawing>
              <wp:anchor behindDoc="0" distT="76200" distB="0" distL="254000" distR="0" simplePos="0" locked="0" layoutInCell="1" allowOverlap="1" relativeHeight="176">
                <wp:simplePos x="0" y="0"/>
                <wp:positionH relativeFrom="column">
                  <wp:align>left</wp:align>
                </wp:positionH>
                <wp:positionV relativeFrom="line">
                  <wp:align>top</wp:align>
                </wp:positionV>
                <wp:extent cx="127000" cy="350520"/>
                <wp:effectExtent l="0" t="0" r="0" b="0"/>
                <wp:wrapSquare wrapText="right"/>
                <wp:docPr id="174" name="Frame1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and how you can instruct it to send you securities registered in your own name so you can be a holder, if that is permitted in the future; </w:t>
      </w:r>
      <w:r>
        <mc:AlternateContent>
          <mc:Choice Requires="wps">
            <w:drawing>
              <wp:anchor behindDoc="0" distT="76200" distB="0" distL="254000" distR="0" simplePos="0" locked="0" layoutInCell="1" allowOverlap="1" relativeHeight="177">
                <wp:simplePos x="0" y="0"/>
                <wp:positionH relativeFrom="column">
                  <wp:align>left</wp:align>
                </wp:positionH>
                <wp:positionV relativeFrom="line">
                  <wp:align>top</wp:align>
                </wp:positionV>
                <wp:extent cx="127000" cy="350520"/>
                <wp:effectExtent l="0" t="0" r="0" b="0"/>
                <wp:wrapSquare wrapText="right"/>
                <wp:docPr id="175" name="Frame1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 it would exercise rights under the securities if there were a default or other event triggering the need for holders to act to protect their interests; and </w:t>
      </w:r>
      <w:r>
        <mc:AlternateContent>
          <mc:Choice Requires="wps">
            <w:drawing>
              <wp:anchor behindDoc="0" distT="76200" distB="0" distL="254000" distR="0" simplePos="0" locked="0" layoutInCell="1" allowOverlap="1" relativeHeight="178">
                <wp:simplePos x="0" y="0"/>
                <wp:positionH relativeFrom="column">
                  <wp:align>left</wp:align>
                </wp:positionH>
                <wp:positionV relativeFrom="line">
                  <wp:align>top</wp:align>
                </wp:positionV>
                <wp:extent cx="127000" cy="350520"/>
                <wp:effectExtent l="0" t="0" r="0" b="0"/>
                <wp:wrapSquare wrapText="right"/>
                <wp:docPr id="176" name="Frame1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securities are in book-entry form, how the depositary’s rules and procedures will affect these matters. </w:t>
      </w:r>
      <w:r>
        <mc:AlternateContent>
          <mc:Choice Requires="wps">
            <w:drawing>
              <wp:anchor behindDoc="0" distT="76200" distB="0" distL="254000" distR="0" simplePos="0" locked="0" layoutInCell="1" allowOverlap="1" relativeHeight="179">
                <wp:simplePos x="0" y="0"/>
                <wp:positionH relativeFrom="column">
                  <wp:align>left</wp:align>
                </wp:positionH>
                <wp:positionV relativeFrom="line">
                  <wp:align>top</wp:align>
                </wp:positionV>
                <wp:extent cx="127000" cy="350520"/>
                <wp:effectExtent l="0" t="0" r="0" b="0"/>
                <wp:wrapSquare wrapText="right"/>
                <wp:docPr id="177" name="Frame1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Global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global security is a security that represents one or any other number of individual securities held by a depositary. Generally, all securities represented by the same global securities will have the same terms.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security issued in book-entry form will be represented by a global security that we issue to, deposit with and register in the name of a financial institution or its nominee that we select. The financial institution that we select for this purpose is called the depositary. Unless we specify otherwise in the applicable prospectus supplement, the DTC will be the depositary for all securities issued in book-entry form.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global security may not be transferred to or registered in the name of anyone other than the depositary, its nominee or a successor depositary, unless special termination situations arise. We describe those situations below under “Special Situations When a Global Security Will Be Terminated.” As a result of these arrangements, the depositary, or its nominee, will be the sole registered owner and legal holder of all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does. Thus, an investor whose security is represented by a global security will not be a legal holder of the security, but only an indirect holder of a beneficial interest in the global security.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prospectus supplement for a particular security indicates that the security will be issued as a global security, then the security will be represented by a global security at all times unless and until the global security is terminated. If termination occurs, we may issue the securities through another book-entry clearing system or decide that the securities may no longer be held through any book-entry clearing system.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Special Considerations for Global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an indirect holder, an investor’s rights relating to a global security will be governed by the account rules of the investor’s financial institution and of the depositary, as well as general laws relating to securities transfers. We do not recognize an indirect holder as a holder of securities and instead deal only with the depositary that holds the global security.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securities are issued only as global securities, an investor should be aware of the following: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investor cannot cause the securities to be registered in his or her name, and cannot obtain non-global certificates for his or her interest in the securities, except in the special situations we describe below; </w:t>
      </w:r>
      <w:r>
        <mc:AlternateContent>
          <mc:Choice Requires="wps">
            <w:drawing>
              <wp:anchor behindDoc="0" distT="76200" distB="0" distL="254000" distR="0" simplePos="0" locked="0" layoutInCell="1" allowOverlap="1" relativeHeight="180">
                <wp:simplePos x="0" y="0"/>
                <wp:positionH relativeFrom="column">
                  <wp:align>left</wp:align>
                </wp:positionH>
                <wp:positionV relativeFrom="line">
                  <wp:align>top</wp:align>
                </wp:positionV>
                <wp:extent cx="127000" cy="350520"/>
                <wp:effectExtent l="0" t="0" r="0" b="0"/>
                <wp:wrapSquare wrapText="right"/>
                <wp:docPr id="178" name="Frame1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investor will be an indirect holder and must look to his or her own bank or broker for payments on the securities and protection of his or her legal rights relating to the securities, as we describe above; </w:t>
      </w:r>
      <w:r>
        <mc:AlternateContent>
          <mc:Choice Requires="wps">
            <w:drawing>
              <wp:anchor behindDoc="0" distT="76200" distB="0" distL="254000" distR="0" simplePos="0" locked="0" layoutInCell="1" allowOverlap="1" relativeHeight="181">
                <wp:simplePos x="0" y="0"/>
                <wp:positionH relativeFrom="column">
                  <wp:align>left</wp:align>
                </wp:positionH>
                <wp:positionV relativeFrom="line">
                  <wp:align>top</wp:align>
                </wp:positionV>
                <wp:extent cx="127000" cy="350520"/>
                <wp:effectExtent l="0" t="0" r="0" b="0"/>
                <wp:wrapSquare wrapText="right"/>
                <wp:docPr id="179" name="Frame1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investor may not be able to sell interests in the securities to some insurance companies and to other institutions that are required by law to own their securities in non-book-entry form; </w:t>
      </w:r>
      <w:r>
        <mc:AlternateContent>
          <mc:Choice Requires="wps">
            <w:drawing>
              <wp:anchor behindDoc="0" distT="76200" distB="0" distL="254000" distR="0" simplePos="0" locked="0" layoutInCell="1" allowOverlap="1" relativeHeight="182">
                <wp:simplePos x="0" y="0"/>
                <wp:positionH relativeFrom="column">
                  <wp:align>left</wp:align>
                </wp:positionH>
                <wp:positionV relativeFrom="line">
                  <wp:align>top</wp:align>
                </wp:positionV>
                <wp:extent cx="127000" cy="350520"/>
                <wp:effectExtent l="0" t="0" r="0" b="0"/>
                <wp:wrapSquare wrapText="right"/>
                <wp:docPr id="180" name="Frame1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investor may not be able to pledge his or her interest in the global security in circumstances where certificates representing the securities must be delivered to the lender or other beneficiary of the pledge in order for the pledge to be effective; </w:t>
      </w:r>
      <w:r>
        <mc:AlternateContent>
          <mc:Choice Requires="wps">
            <w:drawing>
              <wp:anchor behindDoc="0" distT="76200" distB="0" distL="254000" distR="0" simplePos="0" locked="0" layoutInCell="1" allowOverlap="1" relativeHeight="183">
                <wp:simplePos x="0" y="0"/>
                <wp:positionH relativeFrom="column">
                  <wp:align>left</wp:align>
                </wp:positionH>
                <wp:positionV relativeFrom="line">
                  <wp:align>top</wp:align>
                </wp:positionV>
                <wp:extent cx="127000" cy="350520"/>
                <wp:effectExtent l="0" t="0" r="0" b="0"/>
                <wp:wrapSquare wrapText="right"/>
                <wp:docPr id="181" name="Frame1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depositary’s policies, which may change from time to time, will govern payments, transfers, exchanges and other matters relating to an investor’s interest in the global security; </w:t>
      </w:r>
      <w:r>
        <mc:AlternateContent>
          <mc:Choice Requires="wps">
            <w:drawing>
              <wp:anchor behindDoc="0" distT="76200" distB="0" distL="254000" distR="0" simplePos="0" locked="0" layoutInCell="1" allowOverlap="1" relativeHeight="184">
                <wp:simplePos x="0" y="0"/>
                <wp:positionH relativeFrom="column">
                  <wp:align>left</wp:align>
                </wp:positionH>
                <wp:positionV relativeFrom="line">
                  <wp:align>top</wp:align>
                </wp:positionV>
                <wp:extent cx="127000" cy="350520"/>
                <wp:effectExtent l="0" t="0" r="0" b="0"/>
                <wp:wrapSquare wrapText="right"/>
                <wp:docPr id="182" name="Frame1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and any applicable trustee have no responsibility for any aspect of the depositary’s actions or for its records of ownership interests in the global security, nor will we or any applicable trustee supervise the depositary in any way; </w:t>
      </w:r>
      <w:r>
        <mc:AlternateContent>
          <mc:Choice Requires="wps">
            <w:drawing>
              <wp:anchor behindDoc="0" distT="76200" distB="0" distL="254000" distR="0" simplePos="0" locked="0" layoutInCell="1" allowOverlap="1" relativeHeight="185">
                <wp:simplePos x="0" y="0"/>
                <wp:positionH relativeFrom="column">
                  <wp:align>left</wp:align>
                </wp:positionH>
                <wp:positionV relativeFrom="line">
                  <wp:align>top</wp:align>
                </wp:positionV>
                <wp:extent cx="127000" cy="350520"/>
                <wp:effectExtent l="0" t="0" r="0" b="0"/>
                <wp:wrapSquare wrapText="right"/>
                <wp:docPr id="183" name="Frame1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depositary may, and we understand that DTC will, require that those who purchase and sell interests in the global security within its book-entry system use immediately available funds, and your broker or bank may require you to do so as well; and </w:t>
      </w:r>
      <w:r>
        <mc:AlternateContent>
          <mc:Choice Requires="wps">
            <w:drawing>
              <wp:anchor behindDoc="0" distT="76200" distB="0" distL="254000" distR="0" simplePos="0" locked="0" layoutInCell="1" allowOverlap="1" relativeHeight="186">
                <wp:simplePos x="0" y="0"/>
                <wp:positionH relativeFrom="column">
                  <wp:align>left</wp:align>
                </wp:positionH>
                <wp:positionV relativeFrom="line">
                  <wp:align>top</wp:align>
                </wp:positionV>
                <wp:extent cx="127000" cy="350520"/>
                <wp:effectExtent l="0" t="0" r="0" b="0"/>
                <wp:wrapSquare wrapText="right"/>
                <wp:docPr id="184" name="Frame1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financial institutions that participate in the depositary’s book-entry system, and through which an investor holds its interest in the global security, may also have their own policies affecting payments, notices and other matters relating to the securities. </w:t>
      </w:r>
      <w:r>
        <mc:AlternateContent>
          <mc:Choice Requires="wps">
            <w:drawing>
              <wp:anchor behindDoc="0" distT="76200" distB="0" distL="254000" distR="0" simplePos="0" locked="0" layoutInCell="1" allowOverlap="1" relativeHeight="187">
                <wp:simplePos x="0" y="0"/>
                <wp:positionH relativeFrom="column">
                  <wp:align>left</wp:align>
                </wp:positionH>
                <wp:positionV relativeFrom="line">
                  <wp:align>top</wp:align>
                </wp:positionV>
                <wp:extent cx="127000" cy="350520"/>
                <wp:effectExtent l="0" t="0" r="0" b="0"/>
                <wp:wrapSquare wrapText="right"/>
                <wp:docPr id="185" name="Frame1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may be more than one financial intermediary in the chain of ownership for an investor. We do not monitor and are not responsible for the actions of any of those intermediaries.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Special Situations When a Global Security Will Be Terminated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 few special situations described below, a global security will terminate and interests in it will be exchanged for physical certificates representing those interests. After that exchange, the choice of whether to hold securities directly or in street name will be up to the investor. Investors must consult their own banks or brokers to find out how to have their interests in securities transferred to their own names, so that they will be direct holders. We have described the rights of holders and street name investors above.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we provide otherwise in the applicable prospectus supplement, the global security will terminate when the following special situations occur: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depositary notifies us that it is unwilling, unable or no longer qualified to continue as depositary for that global security and we do not appoint another institution to act as depositary within 90 days; </w:t>
      </w:r>
      <w:r>
        <mc:AlternateContent>
          <mc:Choice Requires="wps">
            <w:drawing>
              <wp:anchor behindDoc="0" distT="76200" distB="0" distL="254000" distR="0" simplePos="0" locked="0" layoutInCell="1" allowOverlap="1" relativeHeight="188">
                <wp:simplePos x="0" y="0"/>
                <wp:positionH relativeFrom="column">
                  <wp:align>left</wp:align>
                </wp:positionH>
                <wp:positionV relativeFrom="line">
                  <wp:align>top</wp:align>
                </wp:positionV>
                <wp:extent cx="127000" cy="350520"/>
                <wp:effectExtent l="0" t="0" r="0" b="0"/>
                <wp:wrapSquare wrapText="right"/>
                <wp:docPr id="186" name="Frame1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notify any applicable trustee that we wish to terminate that global security; or </w:t>
      </w:r>
      <w:r>
        <mc:AlternateContent>
          <mc:Choice Requires="wps">
            <w:drawing>
              <wp:anchor behindDoc="0" distT="76200" distB="0" distL="254000" distR="0" simplePos="0" locked="0" layoutInCell="1" allowOverlap="1" relativeHeight="189">
                <wp:simplePos x="0" y="0"/>
                <wp:positionH relativeFrom="column">
                  <wp:align>left</wp:align>
                </wp:positionH>
                <wp:positionV relativeFrom="line">
                  <wp:align>top</wp:align>
                </wp:positionV>
                <wp:extent cx="127000" cy="350520"/>
                <wp:effectExtent l="0" t="0" r="0" b="0"/>
                <wp:wrapSquare wrapText="right"/>
                <wp:docPr id="187" name="Frame1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event of default has occurred with regard to securities represented by that global security and has not been cured or waived. </w:t>
      </w:r>
      <w:r>
        <mc:AlternateContent>
          <mc:Choice Requires="wps">
            <w:drawing>
              <wp:anchor behindDoc="0" distT="76200" distB="0" distL="254000" distR="0" simplePos="0" locked="0" layoutInCell="1" allowOverlap="1" relativeHeight="190">
                <wp:simplePos x="0" y="0"/>
                <wp:positionH relativeFrom="column">
                  <wp:align>left</wp:align>
                </wp:positionH>
                <wp:positionV relativeFrom="line">
                  <wp:align>top</wp:align>
                </wp:positionV>
                <wp:extent cx="127000" cy="350520"/>
                <wp:effectExtent l="0" t="0" r="0" b="0"/>
                <wp:wrapSquare wrapText="right"/>
                <wp:docPr id="188" name="Frame1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applicable prospectus supplement may also list additional situations for terminating a global security that would apply only to the particular series of securities covered by the prospectus supplement. When a global security terminates, the depositary, and neither we nor any applicable trustee, is responsible for deciding the names of the institutions that will be the initial direct holders.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5" w:name="sPOD"/>
      <w:bookmarkEnd w:id="2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PLAN OF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sell the securities from time to time pursuant to underwritten public offerings, negotiated transactions, block trades or a combination of these methods. We may sell the securities to or through underwriters or dealers, through agents, or directly to one or more purchasers. We may distribute securities from time to time in one or more transactions: </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 fixed price or prices, which may be changed; </w:t>
      </w:r>
      <w:r>
        <mc:AlternateContent>
          <mc:Choice Requires="wps">
            <w:drawing>
              <wp:anchor behindDoc="0" distT="80010" distB="0" distL="254000" distR="0" simplePos="0" locked="0" layoutInCell="1" allowOverlap="1" relativeHeight="191">
                <wp:simplePos x="0" y="0"/>
                <wp:positionH relativeFrom="column">
                  <wp:align>left</wp:align>
                </wp:positionH>
                <wp:positionV relativeFrom="line">
                  <wp:align>top</wp:align>
                </wp:positionV>
                <wp:extent cx="127000" cy="350520"/>
                <wp:effectExtent l="0" t="0" r="0" b="0"/>
                <wp:wrapSquare wrapText="right"/>
                <wp:docPr id="189" name="Frame1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market prices prevailing at the time of sale; </w:t>
      </w:r>
      <w:r>
        <mc:AlternateContent>
          <mc:Choice Requires="wps">
            <w:drawing>
              <wp:anchor behindDoc="0" distT="80010" distB="0" distL="254000" distR="0" simplePos="0" locked="0" layoutInCell="1" allowOverlap="1" relativeHeight="192">
                <wp:simplePos x="0" y="0"/>
                <wp:positionH relativeFrom="column">
                  <wp:align>left</wp:align>
                </wp:positionH>
                <wp:positionV relativeFrom="line">
                  <wp:align>top</wp:align>
                </wp:positionV>
                <wp:extent cx="127000" cy="350520"/>
                <wp:effectExtent l="0" t="0" r="0" b="0"/>
                <wp:wrapSquare wrapText="right"/>
                <wp:docPr id="190" name="Frame1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prices related to such prevailing market prices; or </w:t>
      </w:r>
      <w:r>
        <mc:AlternateContent>
          <mc:Choice Requires="wps">
            <w:drawing>
              <wp:anchor behindDoc="0" distT="80010" distB="0" distL="254000" distR="0" simplePos="0" locked="0" layoutInCell="1" allowOverlap="1" relativeHeight="193">
                <wp:simplePos x="0" y="0"/>
                <wp:positionH relativeFrom="column">
                  <wp:align>left</wp:align>
                </wp:positionH>
                <wp:positionV relativeFrom="line">
                  <wp:align>top</wp:align>
                </wp:positionV>
                <wp:extent cx="127000" cy="350520"/>
                <wp:effectExtent l="0" t="0" r="0" b="0"/>
                <wp:wrapSquare wrapText="right"/>
                <wp:docPr id="191" name="Frame1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negotiated prices. </w:t>
      </w:r>
      <w:r>
        <mc:AlternateContent>
          <mc:Choice Requires="wps">
            <w:drawing>
              <wp:anchor behindDoc="0" distT="80010" distB="0" distL="254000" distR="0" simplePos="0" locked="0" layoutInCell="1" allowOverlap="1" relativeHeight="194">
                <wp:simplePos x="0" y="0"/>
                <wp:positionH relativeFrom="column">
                  <wp:align>left</wp:align>
                </wp:positionH>
                <wp:positionV relativeFrom="line">
                  <wp:align>top</wp:align>
                </wp:positionV>
                <wp:extent cx="127000" cy="350520"/>
                <wp:effectExtent l="0" t="0" r="0" b="0"/>
                <wp:wrapSquare wrapText="right"/>
                <wp:docPr id="192" name="Frame1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also sell equity securities covered by this registration statement in an “at the market offering” as defined in Rule 415(a)(4) under the Securities Act. Such offering may be made into an existing trading market for such securities in transactions at other than a fixed price, either: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or through the facilities of Nasdaq or any other securities exchange or quotation or trading service on which such securities may be listed, quoted or traded at the time of sale; and/or </w:t>
      </w:r>
      <w:r>
        <mc:AlternateContent>
          <mc:Choice Requires="wps">
            <w:drawing>
              <wp:anchor behindDoc="0" distT="78740" distB="0" distL="254000" distR="0" simplePos="0" locked="0" layoutInCell="1" allowOverlap="1" relativeHeight="195">
                <wp:simplePos x="0" y="0"/>
                <wp:positionH relativeFrom="column">
                  <wp:align>left</wp:align>
                </wp:positionH>
                <wp:positionV relativeFrom="line">
                  <wp:align>top</wp:align>
                </wp:positionV>
                <wp:extent cx="127000" cy="350520"/>
                <wp:effectExtent l="0" t="0" r="0" b="0"/>
                <wp:wrapSquare wrapText="right"/>
                <wp:docPr id="193" name="Frame1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or through a market maker other than on Nasdaq or such other securities exchanges or quotation or trading services. </w:t>
      </w:r>
      <w:r>
        <mc:AlternateContent>
          <mc:Choice Requires="wps">
            <w:drawing>
              <wp:anchor behindDoc="0" distT="78740" distB="0" distL="254000" distR="0" simplePos="0" locked="0" layoutInCell="1" allowOverlap="1" relativeHeight="196">
                <wp:simplePos x="0" y="0"/>
                <wp:positionH relativeFrom="column">
                  <wp:align>left</wp:align>
                </wp:positionH>
                <wp:positionV relativeFrom="line">
                  <wp:align>top</wp:align>
                </wp:positionV>
                <wp:extent cx="127000" cy="350520"/>
                <wp:effectExtent l="0" t="0" r="0" b="0"/>
                <wp:wrapSquare wrapText="right"/>
                <wp:docPr id="194" name="Frame1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“at the market offerings”, if any, may be conducted by underwriters acting as principal or agent.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prospectus supplement or supplements (and any related free writing prospectus that we may authorize to be provided to you) will describe the terms of the offering of the securities, including, to the extent applicable: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name or names of any underwriters, dealers or agents, if any; </w:t>
      </w:r>
      <w:r>
        <mc:AlternateContent>
          <mc:Choice Requires="wps">
            <w:drawing>
              <wp:anchor behindDoc="0" distT="78740" distB="0" distL="254000" distR="0" simplePos="0" locked="0" layoutInCell="1" allowOverlap="1" relativeHeight="197">
                <wp:simplePos x="0" y="0"/>
                <wp:positionH relativeFrom="column">
                  <wp:align>left</wp:align>
                </wp:positionH>
                <wp:positionV relativeFrom="line">
                  <wp:align>top</wp:align>
                </wp:positionV>
                <wp:extent cx="127000" cy="350520"/>
                <wp:effectExtent l="0" t="0" r="0" b="0"/>
                <wp:wrapSquare wrapText="right"/>
                <wp:docPr id="195" name="Frame1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purchase price of the securities and the proceeds we will receive from the sale; </w:t>
      </w:r>
      <w:r>
        <mc:AlternateContent>
          <mc:Choice Requires="wps">
            <w:drawing>
              <wp:anchor behindDoc="0" distT="78740" distB="0" distL="254000" distR="0" simplePos="0" locked="0" layoutInCell="1" allowOverlap="1" relativeHeight="198">
                <wp:simplePos x="0" y="0"/>
                <wp:positionH relativeFrom="column">
                  <wp:align>left</wp:align>
                </wp:positionH>
                <wp:positionV relativeFrom="line">
                  <wp:align>top</wp:align>
                </wp:positionV>
                <wp:extent cx="127000" cy="350520"/>
                <wp:effectExtent l="0" t="0" r="0" b="0"/>
                <wp:wrapSquare wrapText="right"/>
                <wp:docPr id="196" name="Frame1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options under which underwriters may purchase additional securities from us; </w:t>
      </w:r>
      <w:r>
        <mc:AlternateContent>
          <mc:Choice Requires="wps">
            <w:drawing>
              <wp:anchor behindDoc="0" distT="78740" distB="0" distL="254000" distR="0" simplePos="0" locked="0" layoutInCell="1" allowOverlap="1" relativeHeight="199">
                <wp:simplePos x="0" y="0"/>
                <wp:positionH relativeFrom="column">
                  <wp:align>left</wp:align>
                </wp:positionH>
                <wp:positionV relativeFrom="line">
                  <wp:align>top</wp:align>
                </wp:positionV>
                <wp:extent cx="127000" cy="350520"/>
                <wp:effectExtent l="0" t="0" r="0" b="0"/>
                <wp:wrapSquare wrapText="right"/>
                <wp:docPr id="197" name="Frame1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agency fees or underwriting discounts and other items constituting agents’ or underwriters’ compensation; </w:t>
      </w:r>
      <w:r>
        <mc:AlternateContent>
          <mc:Choice Requires="wps">
            <w:drawing>
              <wp:anchor behindDoc="0" distT="78740" distB="0" distL="254000" distR="0" simplePos="0" locked="0" layoutInCell="1" allowOverlap="1" relativeHeight="200">
                <wp:simplePos x="0" y="0"/>
                <wp:positionH relativeFrom="column">
                  <wp:align>left</wp:align>
                </wp:positionH>
                <wp:positionV relativeFrom="line">
                  <wp:align>top</wp:align>
                </wp:positionV>
                <wp:extent cx="127000" cy="350520"/>
                <wp:effectExtent l="0" t="0" r="0" b="0"/>
                <wp:wrapSquare wrapText="right"/>
                <wp:docPr id="198" name="Frame1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delayed delivery arrangements; </w:t>
      </w:r>
      <w:r>
        <mc:AlternateContent>
          <mc:Choice Requires="wps">
            <w:drawing>
              <wp:anchor behindDoc="0" distT="78740" distB="0" distL="254000" distR="0" simplePos="0" locked="0" layoutInCell="1" allowOverlap="1" relativeHeight="201">
                <wp:simplePos x="0" y="0"/>
                <wp:positionH relativeFrom="column">
                  <wp:align>left</wp:align>
                </wp:positionH>
                <wp:positionV relativeFrom="line">
                  <wp:align>top</wp:align>
                </wp:positionV>
                <wp:extent cx="127000" cy="350520"/>
                <wp:effectExtent l="0" t="0" r="0" b="0"/>
                <wp:wrapSquare wrapText="right"/>
                <wp:docPr id="199" name="Frame1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public offering price; </w:t>
      </w:r>
      <w:r>
        <mc:AlternateContent>
          <mc:Choice Requires="wps">
            <w:drawing>
              <wp:anchor behindDoc="0" distT="78740" distB="0" distL="254000" distR="0" simplePos="0" locked="0" layoutInCell="1" allowOverlap="1" relativeHeight="202">
                <wp:simplePos x="0" y="0"/>
                <wp:positionH relativeFrom="column">
                  <wp:align>left</wp:align>
                </wp:positionH>
                <wp:positionV relativeFrom="line">
                  <wp:align>top</wp:align>
                </wp:positionV>
                <wp:extent cx="127000" cy="350520"/>
                <wp:effectExtent l="0" t="0" r="0" b="0"/>
                <wp:wrapSquare wrapText="right"/>
                <wp:docPr id="200" name="Frame1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discounts or concessions allowed or reallowed or paid to dealers; and </w:t>
      </w:r>
      <w:r>
        <mc:AlternateContent>
          <mc:Choice Requires="wps">
            <w:drawing>
              <wp:anchor behindDoc="0" distT="78740" distB="0" distL="254000" distR="0" simplePos="0" locked="0" layoutInCell="1" allowOverlap="1" relativeHeight="203">
                <wp:simplePos x="0" y="0"/>
                <wp:positionH relativeFrom="column">
                  <wp:align>left</wp:align>
                </wp:positionH>
                <wp:positionV relativeFrom="line">
                  <wp:align>top</wp:align>
                </wp:positionV>
                <wp:extent cx="127000" cy="350520"/>
                <wp:effectExtent l="0" t="0" r="0" b="0"/>
                <wp:wrapSquare wrapText="right"/>
                <wp:docPr id="201" name="Frame1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securities exchange or market on which the securities may be listed. </w:t>
      </w:r>
      <w:r>
        <mc:AlternateContent>
          <mc:Choice Requires="wps">
            <w:drawing>
              <wp:anchor behindDoc="0" distT="78740" distB="0" distL="254000" distR="0" simplePos="0" locked="0" layoutInCell="1" allowOverlap="1" relativeHeight="204">
                <wp:simplePos x="0" y="0"/>
                <wp:positionH relativeFrom="column">
                  <wp:align>left</wp:align>
                </wp:positionH>
                <wp:positionV relativeFrom="line">
                  <wp:align>top</wp:align>
                </wp:positionV>
                <wp:extent cx="127000" cy="350520"/>
                <wp:effectExtent l="0" t="0" r="0" b="0"/>
                <wp:wrapSquare wrapText="right"/>
                <wp:docPr id="202" name="Frame1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Only underwriters named in the prospectus supplement are underwriters of the securities offered by the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Any public offering price and any discounts or concessions allowed or reallowed or paid to dealers may change from time to time. We may use underwriters with whom we have a material relationship. We will describe in the prospectus supplement, naming the underwriter, the nature of any such relationship.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sell securities directly or through agents we designate from time to time. We will name any agent involved in the offering and sale of securities, and we will describe any commissions we will pay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48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agent in the prospectus supplement. Unless the prospectus supplement states otherwise, our agent will act on a best-efforts basis for the period of its appointment.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authorize agents or underwriters to solicit offers by certain types of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provide agents and underwriters with indemnification against civil liabilities related to this offering, including liabilities under the Securities Act, or contribution with respect to payments that the agents or underwriters may make with respect to these liabilities. Agents and underwriters may engage in transactions with, or perform services for, us in the ordinary course of business.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than common stock, all securities we offer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underwriter may engage in overallotment, stabilizing transactions, short covering transactions and penalty bids. Overallotment involves sales in excess of the offering size, which create a short position. Stabilizing transactions permit bids to purchase the underlying security so long as the stabilizing bids do not exceed a specified maximum. Short covering transactions involve purchases of the securities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 These transactions may be effected on any exchange or over-the-counter market or otherwise.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underwriters who are qualified market makers on Nasdaq may engage in passive market making transactions in the securities on Nasdaq in accordance with Rule 103 of Regulation M, during the business day prior to the pricing of the offering, before the commencement of offers or sales of the securities.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compliance with guidelines of the Financial Industry Regulatory Authority, or FINRA, the maximum consideration or discount to be received by any FINRA member or independent broker dealer may not exceed 8% of the aggregate amount of the securities offered pursuant to this prospectus and the applicable prospectus supplement.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6" w:name="sLEMA"/>
      <w:bookmarkEnd w:id="26"/>
      <w:r>
        <w:rPr>
          <w:rFonts w:ascii="calibri;arial;sans-serif" w:hAnsi="calibri;arial;sans-serif"/>
          <w:b w:val="false"/>
          <w:i w:val="false"/>
          <w:caps w:val="false"/>
          <w:smallCaps w:val="false"/>
          <w:color w:val="000000"/>
          <w:sz w:val="16"/>
        </w:rPr>
        <w:t>​</w:t>
      </w:r>
      <w:bookmarkStart w:id="27" w:name="sEXP"/>
      <w:bookmarkEnd w:id="27"/>
      <w:r>
        <w:rPr>
          <w:rFonts w:ascii="calibri;arial;sans-serif" w:hAnsi="calibri;arial;sans-serif"/>
          <w:b w:val="false"/>
          <w:i w:val="false"/>
          <w:caps w:val="false"/>
          <w:smallCaps w:val="false"/>
          <w:color w:val="000000"/>
          <w:sz w:val="16"/>
        </w:rPr>
        <w:t>​</w:t>
      </w:r>
      <w:bookmarkStart w:id="28" w:name="sWYCF"/>
      <w:bookmarkEnd w:id="2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3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indicated in the applicable prospectus supplement, certain legal matters in connection with the offering and the validity of the securities offered by this prospectus, and any supplement thereto, will be passed upon by Cooley LLP. Additional legal matters may be passed upon for us or any underwriters, dealers or agents, by counsel that we will name in the applicable prospectus supplement.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The financial statements of Tvardi Therapeutics, Inc. as of December 31, 2025 and 2024, and for each of the two years in the period ended December 31, 2025, incorporated by reference in this Prospectus by reference to Tvardi Therapeutics, Inc.’s </w:t>
      </w:r>
      <w:hyperlink r:id="rId15">
        <w:r>
          <w:rPr>
            <w:rStyle w:val="InternetLink"/>
          </w:rPr>
          <w:t>Annual Report on Form 10-K for the year ended December 31, 2025,</w:t>
        </w:r>
      </w:hyperlink>
      <w:r>
        <w:rPr>
          <w:rFonts w:ascii="Times New Roman;Times;serif" w:hAnsi="Times New Roman;Times;serif"/>
          <w:b w:val="false"/>
          <w:i w:val="false"/>
          <w:caps w:val="false"/>
          <w:smallCaps w:val="false"/>
          <w:color w:val="000000"/>
          <w:spacing w:val="4"/>
          <w:sz w:val="20"/>
        </w:rPr>
        <w:t xml:space="preserve"> have been audited by Deloitte &amp; Touche LLP, an independent registered public accounting firm, as stated in their report. Such financial statements are incorporated by reference in reliance upon the report of such firm given their authority as experts in accounting and auditing.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part of a registration statement we filed with the SEC. This prospectus does not contain all of the information set forth in the registration statement and the exhibits to the registration statement. For further information with respect to us and the securities we are offering under this prospectus, we refer you to the registration statement and the exhibits and schedules filed as a part of the registration statement. Neither we nor any agent, underwriter or dealer has authorized any person to provide you with different information. We are not making an offer of these securities in any state where the offer is not permitted. You should not assume that the information in this prospectus is accurate as of any date other than the date on the front page of this prospectus, regardless of the time of delivery of this prospectus or any sale of the securities offered by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file annual, quarterly and current reports, proxy statements and other information with the SEC. The SEC maintains a website that contains reports, proxy statements and other information regarding issuers that file electronically with the SEC, including Tvardi Therapeutics, Inc. The address of the SEC website is www.sec.gov.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maintain a website at www.tvarditherapeutics.com. Information contained in or accessible through our website does not constitute a part of this prospectus. We have included our website address as an inactive textual reference only.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9" w:name="sIOCI"/>
      <w:bookmarkEnd w:id="2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6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INCORPORATION OF CERTAIN INFORMATION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allows us to “incorporate by reference” information that we file with it, which means that we can disclose important information to you by referring you to those documents. The information incorporated by reference is an important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We also incorporate by reference into this prospectus the documents listed below and any future filings made by us with the SEC (other than Current Reports or portions thereof furnished under Item 2.02 or Item 7.01 of Form 8-K and exhibits filed on such form that are related to such items and other portions of documents that are furnished, but not filed, or are otherwise not incorporated into registration statements pursuant to applicable rules promulgated by the SEC) that are filed by us with the SEC pursuant to Sections 13(a), 13(c), 14 or 15(d) of the Exchange Act (i) after the date of the filing of the registration statement of which this prospectus is a part and prior to effectiveness of the registration statement, and (ii) after the effectiveness of the registration statement but prior to the termination of all offerings of securities covered by this prospectus: </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w:t>
      </w:r>
      <w:hyperlink r:id="rId16">
        <w:r>
          <w:rPr>
            <w:rStyle w:val="InternetLink"/>
          </w:rPr>
          <w:t>Annual Report on Form 10-K for the fiscal year ended December 31, 2025, filed with the SEC on March 31,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205">
                <wp:simplePos x="0" y="0"/>
                <wp:positionH relativeFrom="column">
                  <wp:align>left</wp:align>
                </wp:positionH>
                <wp:positionV relativeFrom="line">
                  <wp:align>top</wp:align>
                </wp:positionV>
                <wp:extent cx="127000" cy="350520"/>
                <wp:effectExtent l="0" t="0" r="0" b="0"/>
                <wp:wrapSquare wrapText="right"/>
                <wp:docPr id="203" name="Frame1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the information specifically incorporated by reference into our Annual Report on Form 10-K for the year ended December 31, 2025 from our </w:t>
      </w:r>
      <w:hyperlink r:id="rId17">
        <w:r>
          <w:rPr>
            <w:rStyle w:val="InternetLink"/>
          </w:rPr>
          <w:t>Definitive Proxy Statement on Schedule 14A, filed with the SEC on April 23,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206">
                <wp:simplePos x="0" y="0"/>
                <wp:positionH relativeFrom="column">
                  <wp:align>left</wp:align>
                </wp:positionH>
                <wp:positionV relativeFrom="line">
                  <wp:align>top</wp:align>
                </wp:positionV>
                <wp:extent cx="127000" cy="350520"/>
                <wp:effectExtent l="0" t="0" r="0" b="0"/>
                <wp:wrapSquare wrapText="right"/>
                <wp:docPr id="204" name="Frame2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w:t>
      </w:r>
      <w:hyperlink r:id="rId18">
        <w:r>
          <w:rPr>
            <w:rStyle w:val="InternetLink"/>
          </w:rPr>
          <w:t>Current Report on Form 8-K, filed with the SEC on March 6, 2026</w:t>
        </w:r>
      </w:hyperlink>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76200" distB="0" distL="254000" distR="0" simplePos="0" locked="0" layoutInCell="1" allowOverlap="1" relativeHeight="207">
                <wp:simplePos x="0" y="0"/>
                <wp:positionH relativeFrom="column">
                  <wp:align>left</wp:align>
                </wp:positionH>
                <wp:positionV relativeFrom="line">
                  <wp:align>top</wp:align>
                </wp:positionV>
                <wp:extent cx="127000" cy="350520"/>
                <wp:effectExtent l="0" t="0" r="0" b="0"/>
                <wp:wrapSquare wrapText="right"/>
                <wp:docPr id="205" name="Frame2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the description of our common stock, which is registered under Section 12 of the Exchange Act, described in </w:t>
      </w:r>
      <w:hyperlink r:id="rId19">
        <w:r>
          <w:rPr>
            <w:rStyle w:val="InternetLink"/>
          </w:rPr>
          <w:t>Exhibit 4.1</w:t>
        </w:r>
      </w:hyperlink>
      <w:r>
        <w:rPr>
          <w:rFonts w:ascii="Times New Roman;Times;serif" w:hAnsi="Times New Roman;Times;serif"/>
          <w:b w:val="false"/>
          <w:i w:val="false"/>
          <w:caps w:val="false"/>
          <w:smallCaps w:val="false"/>
          <w:color w:val="000000"/>
          <w:spacing w:val="4"/>
          <w:sz w:val="20"/>
        </w:rPr>
        <w:t xml:space="preserve"> to our Annual Report on Form 10-K, filed with the SEC on March 31, 2026, including all amendments or reports filed for the purpose of updating such description. </w:t>
      </w:r>
      <w:r>
        <mc:AlternateContent>
          <mc:Choice Requires="wps">
            <w:drawing>
              <wp:anchor behindDoc="0" distT="76200" distB="0" distL="254000" distR="0" simplePos="0" locked="0" layoutInCell="1" allowOverlap="1" relativeHeight="208">
                <wp:simplePos x="0" y="0"/>
                <wp:positionH relativeFrom="column">
                  <wp:align>left</wp:align>
                </wp:positionH>
                <wp:positionV relativeFrom="line">
                  <wp:align>top</wp:align>
                </wp:positionV>
                <wp:extent cx="127000" cy="350520"/>
                <wp:effectExtent l="0" t="0" r="0" b="0"/>
                <wp:wrapSquare wrapText="right"/>
                <wp:docPr id="206" name="Frame2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provide to each person, including any beneficial owner, to whom a prospectus is delivered, without charge upon written or oral request, a copy of any or all of the documents that are incorporated by reference into this prospectus but not delivered with the prospectus, including exhibits which are specifically incorporated by reference into such documents. You should direct any requests for documents by writing us at 3 Sugar Creek Ctr. Blvd., Suite 525, Sugar Land, Texas 77478, or by telephoning us at (713) 489-8654.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Any statement contained herein or in a document incorporated or deemed to be incorporated by reference into this document will be deemed to be modified or superseded for purposes of the document to the extent that a statement contained in this document or any other subsequently filed document that is deemed to be incorporated by reference into this document modifies or supersedes the statement.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TextBody"/>
        <w:bidi w:val="0"/>
        <w:spacing w:before="56"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1805" w:after="283"/>
        <w:jc w:val="center"/>
        <w:rPr>
          <w:caps w:val="false"/>
          <w:smallCaps w:val="false"/>
          <w:color w:val="000000"/>
        </w:rPr>
      </w:pPr>
      <w:r>
        <w:rPr>
          <w:caps w:val="false"/>
          <w:smallCaps w:val="false"/>
          <w:color w:val="000000"/>
        </w:rPr>
        <w:drawing>
          <wp:inline distT="0" distB="0" distL="0" distR="0">
            <wp:extent cx="1800225" cy="723900"/>
            <wp:effectExtent l="0" t="0" r="0" b="0"/>
            <wp:docPr id="20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5" descr=""/>
                    <pic:cNvPicPr>
                      <a:picLocks noChangeAspect="1" noChangeArrowheads="1"/>
                    </pic:cNvPicPr>
                  </pic:nvPicPr>
                  <pic:blipFill>
                    <a:blip r:embed="rId20"/>
                    <a:stretch>
                      <a:fillRect/>
                    </a:stretch>
                  </pic:blipFill>
                  <pic:spPr bwMode="auto">
                    <a:xfrm>
                      <a:off x="0" y="0"/>
                      <a:ext cx="1800225" cy="723900"/>
                    </a:xfrm>
                    <a:prstGeom prst="rect">
                      <a:avLst/>
                    </a:prstGeom>
                  </pic:spPr>
                </pic:pic>
              </a:graphicData>
            </a:graphic>
          </wp:inline>
        </w:drawing>
      </w:r>
      <w:r>
        <w:rPr>
          <w:caps w:val="false"/>
          <w:smallCaps w:val="false"/>
          <w:color w:val="000000"/>
        </w:rPr>
        <w:t xml:space="preserve"> </w:t>
      </w:r>
    </w:p>
    <w:p>
      <w:pPr>
        <w:pStyle w:val="TextBody"/>
        <w:bidi w:val="0"/>
        <w:spacing w:lineRule="atLeast" w:line="320" w:before="1191"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Up to $9,689,765</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320" w:before="16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Common Stock</w:t>
      </w:r>
      <w:r>
        <w:rPr>
          <w:rFonts w:ascii="Times New Roman;Times;serif" w:hAnsi="Times New Roman;Times;serif"/>
          <w:b/>
          <w:i w:val="false"/>
          <w:caps w:val="false"/>
          <w:smallCaps w:val="false"/>
          <w:color w:val="000000"/>
          <w:spacing w:val="6"/>
          <w:sz w:val="28"/>
        </w:rPr>
        <w:t xml:space="preserve"> </w:t>
      </w:r>
    </w:p>
    <w:p>
      <w:pPr>
        <w:pStyle w:val="TextBody"/>
        <w:bidi w:val="0"/>
        <w:spacing w:before="2143"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80" w:before="186"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PROSPECTUS</w:t>
      </w:r>
      <w:r>
        <w:rPr>
          <w:rFonts w:ascii="Times New Roman;Times;serif" w:hAnsi="Times New Roman;Times;serif"/>
          <w:b/>
          <w:i w:val="false"/>
          <w:caps w:val="false"/>
          <w:smallCaps w:val="false"/>
          <w:color w:val="000000"/>
          <w:spacing w:val="5"/>
          <w:sz w:val="24"/>
        </w:rPr>
        <w:t xml:space="preserve"> </w:t>
      </w:r>
    </w:p>
    <w:p>
      <w:pPr>
        <w:pStyle w:val="TextBody"/>
        <w:bidi w:val="0"/>
        <w:spacing w:before="177"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60" w:before="1395"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Jones</w:t>
      </w:r>
      <w:r>
        <w:rPr>
          <w:rFonts w:ascii="Times New Roman;Times;serif" w:hAnsi="Times New Roman;Times;serif"/>
          <w:b/>
          <w:i w:val="false"/>
          <w:caps w:val="false"/>
          <w:smallCaps w:val="false"/>
          <w:color w:val="000000"/>
          <w:spacing w:val="6"/>
          <w:sz w:val="32"/>
        </w:rPr>
        <w:t xml:space="preserve"> </w:t>
      </w:r>
    </w:p>
    <w:p>
      <w:pPr>
        <w:pStyle w:val="TextBody"/>
        <w:bidi w:val="0"/>
        <w:spacing w:before="943"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393"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July 17, 2026</w:t>
      </w:r>
      <w:r>
        <w:rPr>
          <w:rFonts w:ascii="Times New Roman;Times;serif" w:hAnsi="Times New Roman;Times;serif"/>
          <w:b/>
          <w:i w:val="false"/>
          <w:caps w:val="false"/>
          <w:smallCaps w:val="false"/>
          <w:color w:val="000000"/>
          <w:spacing w:val="4"/>
          <w:sz w:val="20"/>
        </w:rPr>
        <w:t xml:space="preserve"> </w:t>
      </w:r>
    </w:p>
    <w:p>
      <w:pPr>
        <w:pStyle w:val="TextBody"/>
        <w:bidi w:val="0"/>
        <w:spacing w:before="197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56"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ix?doc=/Archives/edgar/data/1346830/000110465926037729/tvrd-20251231x10k.htm" TargetMode="External"/><Relationship Id="rId5" Type="http://schemas.openxmlformats.org/officeDocument/2006/relationships/hyperlink" Target="https://www.sec.gov/ix?doc=/Archives/edgar/data/1346830/000110465926037729/tvrd-20251231x10k.htm" TargetMode="External"/><Relationship Id="rId6" Type="http://schemas.openxmlformats.org/officeDocument/2006/relationships/hyperlink" Target="https://www.sec.gov/ix?doc=/Archives/edgar/data/1346830/000110465926037729/tvrd-20251231x10k.htm" TargetMode="External"/><Relationship Id="rId7" Type="http://schemas.openxmlformats.org/officeDocument/2006/relationships/hyperlink" Target="https://www.sec.gov/ix?doc=/Archives/edgar/data/1346830/000110465926057528/tvrd-20260331x10q.htm" TargetMode="External"/><Relationship Id="rId8" Type="http://schemas.openxmlformats.org/officeDocument/2006/relationships/hyperlink" Target="https://www.sec.gov/ix?doc=/Archives/edgar/data/1346830/000110465926037729/tvrd-20251231x10k.htm" TargetMode="External"/><Relationship Id="rId9" Type="http://schemas.openxmlformats.org/officeDocument/2006/relationships/hyperlink" Target="https://www.sec.gov/ix?doc=/Archives/edgar/data/1346830/000110465926047695/tvrd-20260609xdef14a.htm" TargetMode="External"/><Relationship Id="rId10" Type="http://schemas.openxmlformats.org/officeDocument/2006/relationships/hyperlink" Target="https://www.sec.gov/ix?doc=/Archives/edgar/data/1346830/000110465926024676/tm268178d1_8k.htm" TargetMode="External"/><Relationship Id="rId11" Type="http://schemas.openxmlformats.org/officeDocument/2006/relationships/hyperlink" Target="https://www.sec.gov/ix?doc=/Archives/edgar/data/1346830/000110465926072930/tm2617528d1_8k.htm" TargetMode="External"/><Relationship Id="rId12" Type="http://schemas.openxmlformats.org/officeDocument/2006/relationships/hyperlink" Target="https://www.sec.gov/Archives/edgar/data/1346830/000110465926037729/tvrd-20251231xex4d1.htm" TargetMode="External"/><Relationship Id="rId13" Type="http://schemas.openxmlformats.org/officeDocument/2006/relationships/image" Target="media/image1.jpeg"/><Relationship Id="rId14" Type="http://schemas.openxmlformats.org/officeDocument/2006/relationships/image" Target="media/image3.jpeg"/><Relationship Id="rId15" Type="http://schemas.openxmlformats.org/officeDocument/2006/relationships/hyperlink" Target="https://www.sec.gov/ix?doc=/Archives/edgar/data/1346830/000110465926037729/tvrd-20251231x10k.htm" TargetMode="External"/><Relationship Id="rId16" Type="http://schemas.openxmlformats.org/officeDocument/2006/relationships/hyperlink" Target="https://www.sec.gov/ix?doc=/Archives/edgar/data/1346830/000110465926037729/tvrd-20251231x10k.htm" TargetMode="External"/><Relationship Id="rId17" Type="http://schemas.openxmlformats.org/officeDocument/2006/relationships/hyperlink" Target="https://www.sec.gov/ix?doc=/Archives/edgar/data/1346830/000110465926047695/tvrd-20260609xdef14a.htm" TargetMode="External"/><Relationship Id="rId18" Type="http://schemas.openxmlformats.org/officeDocument/2006/relationships/hyperlink" Target="https://www.sec.gov/ix?doc=/Archives/edgar/data/1346830/000110465926024676/tm268178d1_8k.htm" TargetMode="External"/><Relationship Id="rId19" Type="http://schemas.openxmlformats.org/officeDocument/2006/relationships/hyperlink" Target="https://www.sec.gov/Archives/edgar/data/1346830/000110465926037729/tvrd-20251231xex4d1.htm" TargetMode="External"/><Relationship Id="rId20" Type="http://schemas.openxmlformats.org/officeDocument/2006/relationships/image" Target="media/image1.jpeg"/><Relationship Id="rId21" Type="http://schemas.openxmlformats.org/officeDocument/2006/relationships/fontTable" Target="fontTable.xml"/><Relationship Id="rId2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26864</Words>
  <Characters>141804</Characters>
  <CharactersWithSpaces>169689</CharactersWithSpaces>
  <Paragraphs>1639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