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620743d1_8k.htm"/>
      <w:bookmarkStart w:id="1" w:name="kstm2620743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60717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July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1_edei--EntityRegistrantName_c2026"/>
      <w:bookmarkEnd w:id="4"/>
      <w:r>
        <w:rPr>
          <w:rFonts w:ascii="Times New Roman;Times;Serif" w:hAnsi="Times New Roman;Times;Serif"/>
          <w:b/>
          <w:i w:val="false"/>
          <w:caps w:val="false"/>
          <w:smallCaps w:val="false"/>
          <w:sz w:val="36"/>
        </w:rPr>
        <w:t>TVARDI THERAPEUTICS,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405" w:type="dxa"/>
        <w:jc w:val="left"/>
        <w:tblInd w:w="0" w:type="dxa"/>
        <w:tblLayout w:type="fixed"/>
        <w:tblCellMar>
          <w:top w:w="0" w:type="dxa"/>
          <w:left w:w="0" w:type="dxa"/>
          <w:bottom w:w="0" w:type="dxa"/>
          <w:right w:w="0" w:type="dxa"/>
        </w:tblCellMar>
      </w:tblPr>
      <w:tblGrid>
        <w:gridCol w:w="3215"/>
        <w:gridCol w:w="60"/>
        <w:gridCol w:w="1295"/>
        <w:gridCol w:w="60"/>
        <w:gridCol w:w="1775"/>
      </w:tblGrid>
      <w:tr>
        <w:trPr/>
        <w:tc>
          <w:tcPr>
            <w:tcW w:w="3215" w:type="dxa"/>
            <w:tcBorders/>
            <w:vAlign w:val="center"/>
          </w:tcPr>
          <w:p>
            <w:pPr>
              <w:pStyle w:val="TableContents"/>
              <w:bidi w:val="0"/>
              <w:spacing w:before="0" w:after="283"/>
              <w:jc w:val="center"/>
              <w:rPr>
                <w:rFonts w:ascii="Times New Roman;Times;Serif" w:hAnsi="Times New Roman;Times;Serif"/>
                <w:b/>
                <w:sz w:val="20"/>
              </w:rPr>
            </w:pPr>
            <w:bookmarkStart w:id="5" w:name="xdx_905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rFonts w:ascii="Times New Roman;Times;Serif" w:hAnsi="Times New Roman;Times;Serif"/>
                <w:b/>
                <w:sz w:val="20"/>
              </w:rPr>
            </w:pPr>
            <w:bookmarkStart w:id="6" w:name="xdx_90B_edei--EntityFileNumber_c20260717"/>
            <w:bookmarkEnd w:id="6"/>
            <w:r>
              <w:rPr>
                <w:rFonts w:ascii="Times New Roman;Times;Serif" w:hAnsi="Times New Roman;Times;Serif"/>
                <w:b/>
                <w:sz w:val="20"/>
              </w:rPr>
              <w:t>001-36279</w:t>
            </w:r>
          </w:p>
        </w:tc>
        <w:tc>
          <w:tcPr>
            <w:tcW w:w="60"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rFonts w:ascii="Times New Roman;Times;Serif" w:hAnsi="Times New Roman;Times;Serif"/>
                <w:b/>
                <w:sz w:val="20"/>
              </w:rPr>
            </w:pPr>
            <w:bookmarkStart w:id="7" w:name="xdx_908_edei--EntityTaxIdentificationNum"/>
            <w:bookmarkEnd w:id="7"/>
            <w:r>
              <w:rPr>
                <w:rFonts w:ascii="Times New Roman;Times;Serif" w:hAnsi="Times New Roman;Times;Serif"/>
                <w:b/>
                <w:sz w:val="20"/>
              </w:rPr>
              <w:t>75-3175693</w:t>
            </w:r>
          </w:p>
        </w:tc>
      </w:tr>
      <w:tr>
        <w:trPr/>
        <w:tc>
          <w:tcPr>
            <w:tcW w:w="3215" w:type="dxa"/>
            <w:tcBorders/>
            <w:vAlign w:val="center"/>
          </w:tcPr>
          <w:p>
            <w:pPr>
              <w:pStyle w:val="TableContents"/>
              <w:bidi w:val="0"/>
              <w:spacing w:before="0" w:after="283"/>
              <w:jc w:val="center"/>
              <w:rPr/>
            </w:pPr>
            <w:r>
              <w:rPr/>
              <w:t>(State or other jurisdiction</w:t>
              <w:br/>
              <w:t>of incorporation)</w:t>
            </w:r>
          </w:p>
        </w:tc>
        <w:tc>
          <w:tcPr>
            <w:tcW w:w="60"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(Commission</w:t>
              <w:br/>
              <w:t>File Number)</w:t>
            </w:r>
          </w:p>
        </w:tc>
        <w:tc>
          <w:tcPr>
            <w:tcW w:w="60"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pPr>
            <w:r>
              <w:rPr/>
              <w:t>(IRS Employer</w:t>
              <w:br/>
              <w:t>Identification No.)</w:t>
            </w:r>
          </w:p>
        </w:tc>
      </w:tr>
      <w:tr>
        <w:trPr/>
        <w:tc>
          <w:tcPr>
            <w:tcW w:w="3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pPr>
            <w:r>
              <w:rPr/>
              <w:t> </w:t>
            </w:r>
          </w:p>
        </w:tc>
      </w:tr>
      <w:tr>
        <w:trPr/>
        <w:tc>
          <w:tcPr>
            <w:tcW w:w="321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bookmarkStart w:id="8" w:name="xdx_905_edei--EntityAddressAddressLine1_"/>
            <w:bookmarkEnd w:id="8"/>
            <w:r>
              <w:rPr>
                <w:rFonts w:ascii="Times New Roman;Times;Serif" w:hAnsi="Times New Roman;Times;Serif"/>
                <w:b/>
                <w:i w:val="false"/>
                <w:caps w:val="false"/>
                <w:smallCaps w:val="false"/>
                <w:sz w:val="20"/>
              </w:rPr>
              <w:t>3 Sugar Creek Ctr. Blvd.</w:t>
              <w:br/>
            </w:r>
            <w:bookmarkStart w:id="9" w:name="xdx_908_edei--EntityAddressAddressLine2_"/>
            <w:bookmarkEnd w:id="9"/>
            <w:r>
              <w:rPr>
                <w:rFonts w:ascii="Times New Roman;Times;Serif" w:hAnsi="Times New Roman;Times;Serif"/>
                <w:b/>
                <w:i w:val="false"/>
                <w:caps w:val="false"/>
                <w:smallCaps w:val="false"/>
                <w:sz w:val="20"/>
              </w:rPr>
              <w:t>Suite 525</w:t>
              <w:br/>
            </w:r>
            <w:bookmarkStart w:id="10" w:name="xdx_904_edei--EntityAddressCityOrTown_c2"/>
            <w:bookmarkEnd w:id="10"/>
            <w:r>
              <w:rPr>
                <w:rFonts w:ascii="Times New Roman;Times;Serif" w:hAnsi="Times New Roman;Times;Serif"/>
                <w:b/>
                <w:i w:val="false"/>
                <w:caps w:val="false"/>
                <w:smallCaps w:val="false"/>
                <w:sz w:val="20"/>
              </w:rPr>
              <w:t xml:space="preserve">Sugar Land, </w:t>
            </w:r>
            <w:bookmarkStart w:id="11" w:name="xdx_901_edei--EntityAddressStateOrProvin"/>
            <w:bookmarkEnd w:id="11"/>
            <w:r>
              <w:rPr>
                <w:rFonts w:ascii="Times New Roman;Times;Serif" w:hAnsi="Times New Roman;Times;Serif"/>
                <w:b/>
                <w:i w:val="false"/>
                <w:caps w:val="false"/>
                <w:smallCaps w:val="false"/>
                <w:sz w:val="20"/>
              </w:rPr>
              <w:t>Texas</w:t>
            </w:r>
          </w:p>
        </w:tc>
        <w:tc>
          <w:tcPr>
            <w:tcW w:w="60"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rFonts w:ascii="Times New Roman;Times;Serif" w:hAnsi="Times New Roman;Times;Serif"/>
                <w:b/>
                <w:sz w:val="20"/>
              </w:rPr>
            </w:pPr>
            <w:bookmarkStart w:id="12" w:name="xdx_90A_edei--EntityAddressPostalZipCode"/>
            <w:bookmarkEnd w:id="12"/>
            <w:r>
              <w:rPr>
                <w:rFonts w:ascii="Times New Roman;Times;Serif" w:hAnsi="Times New Roman;Times;Serif"/>
                <w:b/>
                <w:sz w:val="20"/>
              </w:rPr>
              <w:t>77478</w:t>
            </w:r>
          </w:p>
        </w:tc>
      </w:tr>
      <w:tr>
        <w:trPr/>
        <w:tc>
          <w:tcPr>
            <w:tcW w:w="3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w:t>
      </w:r>
      <w:bookmarkStart w:id="13" w:name="xdx_90D_edei--CityAreaCode_c20260717__20"/>
      <w:bookmarkEnd w:id="13"/>
      <w:r>
        <w:rPr>
          <w:rFonts w:ascii="Times New Roman;Times;Serif" w:hAnsi="Times New Roman;Times;Serif"/>
          <w:b/>
          <w:sz w:val="20"/>
        </w:rPr>
        <w:t xml:space="preserve">713) </w:t>
      </w:r>
      <w:bookmarkStart w:id="14" w:name="xdx_906_edei--LocalPhoneNumber_c20260717"/>
      <w:bookmarkEnd w:id="14"/>
      <w:r>
        <w:rPr>
          <w:rFonts w:ascii="Times New Roman;Times;Serif" w:hAnsi="Times New Roman;Times;Serif"/>
          <w:b/>
          <w:sz w:val="20"/>
        </w:rPr>
        <w:t>489-8654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5" w:name="xdx_903_edei--WrittenCommunications_c202"/>
            <w:bookmarkEnd w:id="15"/>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6" w:name="xdx_906_edei--SolicitingMaterial_c202607"/>
            <w:bookmarkEnd w:id="16"/>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3_edei--PreCommencementTenderOffer"/>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8" w:name="xdx_905_edei--PreCommencementIssuerTende"/>
            <w:bookmarkEnd w:id="18"/>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230" w:type="dxa"/>
        <w:jc w:val="left"/>
        <w:tblInd w:w="-10" w:type="dxa"/>
        <w:tblLayout w:type="fixed"/>
        <w:tblCellMar>
          <w:top w:w="28" w:type="dxa"/>
          <w:left w:w="118" w:type="dxa"/>
          <w:bottom w:w="28" w:type="dxa"/>
          <w:right w:w="118" w:type="dxa"/>
        </w:tblCellMar>
      </w:tblPr>
      <w:tblGrid>
        <w:gridCol w:w="3515"/>
        <w:gridCol w:w="860"/>
        <w:gridCol w:w="2855"/>
      </w:tblGrid>
      <w:tr>
        <w:trPr/>
        <w:tc>
          <w:tcPr>
            <w:tcW w:w="35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8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w:t>
              <w:br/>
              <w:t>Symbol(s)</w:t>
            </w:r>
          </w:p>
        </w:tc>
        <w:tc>
          <w:tcPr>
            <w:tcW w:w="28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Name of each exchange on which </w:t>
              <w:br/>
              <w:t>registered</w:t>
            </w:r>
          </w:p>
        </w:tc>
      </w:tr>
      <w:tr>
        <w:trPr/>
        <w:tc>
          <w:tcPr>
            <w:tcW w:w="35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bookmarkStart w:id="19" w:name="xdx_908_edei--Security12bTitle_c20260717"/>
            <w:bookmarkEnd w:id="19"/>
            <w:r>
              <w:rPr>
                <w:rFonts w:ascii="Times New Roman;Times;Serif" w:hAnsi="Times New Roman;Times;Serif"/>
                <w:sz w:val="20"/>
              </w:rPr>
              <w:t>Common Stock, par value $0.001 per share</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bookmarkStart w:id="20" w:name="xdx_90D_edei--TradingSymbol_c20260717__2"/>
            <w:bookmarkEnd w:id="20"/>
            <w:r>
              <w:rPr>
                <w:rFonts w:ascii="Times New Roman;Times;Serif" w:hAnsi="Times New Roman;Times;Serif"/>
                <w:sz w:val="20"/>
              </w:rPr>
              <w:t>TVRD</w:t>
            </w:r>
          </w:p>
        </w:tc>
        <w:tc>
          <w:tcPr>
            <w:tcW w:w="28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1" w:name="xdx_903_edei--SecurityExchangeName_c2026"/>
            <w:bookmarkEnd w:id="21"/>
            <w:r>
              <w:rPr>
                <w:rFonts w:ascii="Times New Roman;Times;Serif" w:hAnsi="Times New Roman;Times;Serif"/>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B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on May 1, 2026, Tvardi Therapeutics,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xml:space="preserve">”) entered into a </w:t>
      </w:r>
      <w:r>
        <w:rPr>
          <w:rFonts w:ascii="Times New Roman;Times;Serif" w:hAnsi="Times New Roman;Times;Serif"/>
          <w:b w:val="false"/>
          <w:i w:val="false"/>
          <w:caps w:val="false"/>
          <w:smallCaps w:val="false"/>
          <w:color w:val="231F20"/>
          <w:sz w:val="20"/>
        </w:rPr>
        <w:t>Capital on Demand™ Sales Agreement (the “</w:t>
      </w:r>
      <w:r>
        <w:rPr>
          <w:rFonts w:ascii="Times New Roman;Times;Serif" w:hAnsi="Times New Roman;Times;Serif"/>
          <w:b/>
          <w:i/>
          <w:caps w:val="false"/>
          <w:smallCaps w:val="false"/>
          <w:color w:val="231F20"/>
          <w:sz w:val="20"/>
        </w:rPr>
        <w:t>Sales Agreement</w:t>
      </w:r>
      <w:r>
        <w:rPr>
          <w:rFonts w:ascii="Times New Roman;Times;Serif" w:hAnsi="Times New Roman;Times;Serif"/>
          <w:b w:val="false"/>
          <w:i w:val="false"/>
          <w:caps w:val="false"/>
          <w:smallCaps w:val="false"/>
          <w:color w:val="231F20"/>
          <w:sz w:val="20"/>
        </w:rPr>
        <w:t>”) with JonesTrading Institutional Services LLC (“</w:t>
      </w:r>
      <w:r>
        <w:rPr>
          <w:rFonts w:ascii="Times New Roman;Times;Serif" w:hAnsi="Times New Roman;Times;Serif"/>
          <w:b/>
          <w:i/>
          <w:caps w:val="false"/>
          <w:smallCaps w:val="false"/>
          <w:color w:val="231F20"/>
          <w:sz w:val="20"/>
        </w:rPr>
        <w:t>Jones</w:t>
      </w:r>
      <w:r>
        <w:rPr>
          <w:rFonts w:ascii="Times New Roman;Times;Serif" w:hAnsi="Times New Roman;Times;Serif"/>
          <w:b w:val="false"/>
          <w:i w:val="false"/>
          <w:caps w:val="false"/>
          <w:smallCaps w:val="false"/>
          <w:color w:val="231F20"/>
          <w:sz w:val="20"/>
        </w:rPr>
        <w:t xml:space="preserve">”), </w:t>
      </w:r>
      <w:r>
        <w:rPr>
          <w:rFonts w:ascii="Times New Roman;Times;Serif" w:hAnsi="Times New Roman;Times;Serif"/>
          <w:b w:val="false"/>
          <w:i w:val="false"/>
          <w:caps w:val="false"/>
          <w:smallCaps w:val="false"/>
          <w:sz w:val="20"/>
        </w:rPr>
        <w:t xml:space="preserve">pursuant to which the Company may offer and sell from time to time, at its option through Jones, shares of the Company’s common stock, </w:t>
      </w:r>
      <w:r>
        <w:rPr>
          <w:rFonts w:ascii="Times New Roman;Times;Serif" w:hAnsi="Times New Roman;Times;Serif"/>
          <w:b w:val="false"/>
          <w:i w:val="false"/>
          <w:caps w:val="false"/>
          <w:smallCaps w:val="false"/>
          <w:color w:val="231F20"/>
          <w:sz w:val="20"/>
        </w:rPr>
        <w:t xml:space="preserve">$0.001 </w:t>
      </w:r>
      <w:r>
        <w:rPr>
          <w:rFonts w:ascii="Times New Roman;Times;Serif" w:hAnsi="Times New Roman;Times;Serif"/>
          <w:b w:val="false"/>
          <w:i w:val="false"/>
          <w:caps w:val="false"/>
          <w:smallCaps w:val="false"/>
          <w:sz w:val="20"/>
        </w:rPr>
        <w:t>par value per share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The Shares were issued pursuant to the Company’s shelf registration statement on Form S-3 (File No. 333-295496), which became effective on May 12, 2026, and the sales agreement prospectus included therein (the “</w:t>
      </w:r>
      <w:r>
        <w:rPr>
          <w:rFonts w:ascii="Times New Roman;Times;Serif" w:hAnsi="Times New Roman;Times;Serif"/>
          <w:b/>
          <w:i/>
          <w:caps w:val="false"/>
          <w:smallCaps w:val="false"/>
          <w:sz w:val="20"/>
        </w:rPr>
        <w:t>Sales Agreement Prospectus</w:t>
      </w:r>
      <w:r>
        <w:rPr>
          <w:rFonts w:ascii="Times New Roman;Times;Serif" w:hAnsi="Times New Roman;Times;Serif"/>
          <w:b w:val="false"/>
          <w:i w:val="false"/>
          <w:caps w:val="false"/>
          <w:smallCaps w:val="false"/>
          <w:sz w:val="20"/>
        </w:rPr>
        <w:t>”) registering the offer and sale of Shares in an aggregate offering amount of up to $12.5 million, in each case filed with the Securities and Exchange Commission.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17, 2026, the Company filed a prospectus supplement (the “</w:t>
      </w:r>
      <w:r>
        <w:rPr>
          <w:rFonts w:ascii="Times New Roman;Times;Serif" w:hAnsi="Times New Roman;Times;Serif"/>
          <w:b/>
          <w:i/>
          <w:caps w:val="false"/>
          <w:smallCaps w:val="false"/>
          <w:sz w:val="20"/>
        </w:rPr>
        <w:t>Prospectus Supplement</w:t>
      </w:r>
      <w:r>
        <w:rPr>
          <w:rFonts w:ascii="Times New Roman;Times;Serif" w:hAnsi="Times New Roman;Times;Serif"/>
          <w:b w:val="false"/>
          <w:i w:val="false"/>
          <w:caps w:val="false"/>
          <w:smallCaps w:val="false"/>
          <w:sz w:val="20"/>
        </w:rPr>
        <w:t>”) amending and supplementing the Sales Agreement Prospectus to reflect an increase in the Company’s existing at-the-market offering program to allow for the issuance of up to $9,689,765 in shares of the Company’s common stock, in addition to any amounts previously sold by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General Instruction I.B.6 of Form S-3, often referred to as the “baby shelf” rule, which limits the amounts that the Company may sell under the registration statement of which the Prospectus Supplement forms a part. The aggregate market value of the Company’s common stock held by non-affiliates pursuant to General Instruction I.B.6 of Form S-3 is $</w:t>
      </w:r>
      <w:r>
        <w:rPr>
          <w:rFonts w:ascii="Times New Roman;Times;Serif" w:hAnsi="Times New Roman;Times;Serif"/>
          <w:b w:val="false"/>
          <w:i w:val="false"/>
          <w:caps w:val="false"/>
          <w:smallCaps w:val="false"/>
          <w:color w:val="231F20"/>
          <w:sz w:val="20"/>
        </w:rPr>
        <w:t>62,208,945</w:t>
      </w:r>
      <w:r>
        <w:rPr>
          <w:rFonts w:ascii="Times New Roman;Times;Serif" w:hAnsi="Times New Roman;Times;Serif"/>
          <w:b w:val="false"/>
          <w:i w:val="false"/>
          <w:caps w:val="false"/>
          <w:smallCaps w:val="false"/>
          <w:sz w:val="20"/>
        </w:rPr>
        <w:t xml:space="preserve">, which was calculated based on </w:t>
      </w:r>
      <w:r>
        <w:rPr>
          <w:rFonts w:ascii="Times New Roman;Times;Serif" w:hAnsi="Times New Roman;Times;Serif"/>
          <w:b w:val="false"/>
          <w:i w:val="false"/>
          <w:caps w:val="false"/>
          <w:smallCaps w:val="false"/>
          <w:color w:val="231F20"/>
          <w:sz w:val="20"/>
        </w:rPr>
        <w:t>12,441,789</w:t>
      </w:r>
      <w:r>
        <w:rPr>
          <w:rFonts w:ascii="Times New Roman;Times;Serif" w:hAnsi="Times New Roman;Times;Serif"/>
          <w:b w:val="false"/>
          <w:i w:val="false"/>
          <w:caps w:val="false"/>
          <w:smallCaps w:val="false"/>
          <w:sz w:val="20"/>
        </w:rPr>
        <w:t xml:space="preserve"> shares of the Company’s outstanding common stock held by non-affiliates on July 16, 2026, at a price of $5.00 per share, the closing price of the common stock on July 8, 2026. During the prior twelve-calendar month period that ends on and includes the date of the Prospectus Supplement, the Company sold an aggregate of 3,110,769 shares of common stock for an aggregate offering price of approximately $11.0 million in gross proceeds under the Sales Agreement Prospectus. No additional common stock will be sold under the Sales Agreement Prospectus following the date of the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legal opinion of Cooley LLP relating to the validity of the additional Shares of common stock being offered pursuant to the Sales Agreement and the Prospectus Supplement is filed as Exhibit 5.1 to this Current Report on Form 8-K.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shall not constitute an offer to sell or the solicitation of an offer to buy the Shares discussed herein, nor shall there be any offer, solicitation, or sale of the Shares in any state or other jurisdiction in which such offer, solicitation or sale would be unlawful prior to registration or qualification under the securities laws of any such state or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995"/>
        <w:gridCol w:w="60"/>
        <w:gridCol w:w="653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both"/>
              <w:rPr/>
            </w:pPr>
            <w:hyperlink w:anchor="tm2620743d1_ex5-1.htm">
              <w:r>
                <w:rPr>
                  <w:rStyle w:val="InternetLink"/>
                  <w:rFonts w:ascii="Times New Roman;Times;Serif" w:hAnsi="Times New Roman;Times;Serif"/>
                  <w:sz w:val="20"/>
                </w:rPr>
                <w:t>5.1</w:t>
              </w:r>
            </w:hyperlink>
          </w:p>
        </w:tc>
        <w:tc>
          <w:tcPr>
            <w:tcW w:w="60" w:type="dxa"/>
            <w:tcBorders/>
            <w:tcMar>
              <w:bottom w:w="0" w:type="dxa"/>
            </w:tcMar>
            <w:vAlign w:val="center"/>
          </w:tcPr>
          <w:p>
            <w:pPr>
              <w:pStyle w:val="TableContents"/>
              <w:bidi w:val="0"/>
              <w:spacing w:before="0" w:after="283"/>
              <w:jc w:val="both"/>
              <w:rPr/>
            </w:pPr>
            <w:r>
              <w:rPr/>
              <w:t> </w:t>
            </w:r>
          </w:p>
        </w:tc>
        <w:tc>
          <w:tcPr>
            <w:tcW w:w="6530" w:type="dxa"/>
            <w:tcBorders/>
            <w:tcMar>
              <w:bottom w:w="0" w:type="dxa"/>
            </w:tcMar>
            <w:vAlign w:val="center"/>
          </w:tcPr>
          <w:p>
            <w:pPr>
              <w:pStyle w:val="TableContents"/>
              <w:bidi w:val="0"/>
              <w:spacing w:before="0" w:after="283"/>
              <w:jc w:val="both"/>
              <w:rPr/>
            </w:pPr>
            <w:hyperlink w:anchor="tm2620743d1_ex5-1.htm">
              <w:r>
                <w:rPr>
                  <w:rStyle w:val="InternetLink"/>
                  <w:rFonts w:ascii="Times New Roman;Times;Serif" w:hAnsi="Times New Roman;Times;Serif"/>
                  <w:sz w:val="20"/>
                </w:rPr>
                <w:t>Opinion of Cooley LLP.</w:t>
              </w:r>
            </w:hyperlink>
          </w:p>
        </w:tc>
      </w:tr>
      <w:tr>
        <w:trPr/>
        <w:tc>
          <w:tcPr>
            <w:tcW w:w="995" w:type="dxa"/>
            <w:tcBorders/>
            <w:tcMar>
              <w:bottom w:w="0" w:type="dxa"/>
            </w:tcMar>
            <w:vAlign w:val="center"/>
          </w:tcPr>
          <w:p>
            <w:pPr>
              <w:pStyle w:val="TableContents"/>
              <w:bidi w:val="0"/>
              <w:spacing w:before="0" w:after="283"/>
              <w:jc w:val="both"/>
              <w:rPr/>
            </w:pPr>
            <w:hyperlink w:anchor="tm2620743d1_ex5-1.htm">
              <w:r>
                <w:rPr>
                  <w:rStyle w:val="InternetLink"/>
                  <w:rFonts w:ascii="Times New Roman;Times;Serif" w:hAnsi="Times New Roman;Times;Serif"/>
                  <w:sz w:val="20"/>
                </w:rPr>
                <w:t>23.1</w:t>
              </w:r>
            </w:hyperlink>
          </w:p>
        </w:tc>
        <w:tc>
          <w:tcPr>
            <w:tcW w:w="60" w:type="dxa"/>
            <w:tcBorders/>
            <w:tcMar>
              <w:bottom w:w="0" w:type="dxa"/>
            </w:tcMar>
            <w:vAlign w:val="center"/>
          </w:tcPr>
          <w:p>
            <w:pPr>
              <w:pStyle w:val="TableContents"/>
              <w:bidi w:val="0"/>
              <w:spacing w:before="0" w:after="283"/>
              <w:jc w:val="both"/>
              <w:rPr/>
            </w:pPr>
            <w:r>
              <w:rPr/>
              <w:t> </w:t>
            </w:r>
          </w:p>
        </w:tc>
        <w:tc>
          <w:tcPr>
            <w:tcW w:w="6530" w:type="dxa"/>
            <w:tcBorders/>
            <w:tcMar>
              <w:bottom w:w="0" w:type="dxa"/>
            </w:tcMar>
            <w:vAlign w:val="center"/>
          </w:tcPr>
          <w:p>
            <w:pPr>
              <w:pStyle w:val="TableContents"/>
              <w:bidi w:val="0"/>
              <w:spacing w:before="0" w:after="283"/>
              <w:jc w:val="both"/>
              <w:rPr/>
            </w:pPr>
            <w:hyperlink w:anchor="tm2620743d1_ex5-1.htm">
              <w:r>
                <w:rPr>
                  <w:rStyle w:val="InternetLink"/>
                  <w:rFonts w:ascii="Times New Roman;Times;Serif" w:hAnsi="Times New Roman;Times;Serif"/>
                  <w:sz w:val="20"/>
                </w:rPr>
                <w:t>Consent of Cooley LLP (contained in Exhibit 5.1).</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314" w:type="dxa"/>
        <w:jc w:val="left"/>
        <w:tblInd w:w="0" w:type="dxa"/>
        <w:tblLayout w:type="fixed"/>
        <w:tblCellMar>
          <w:top w:w="0" w:type="dxa"/>
          <w:left w:w="0" w:type="dxa"/>
          <w:bottom w:w="0" w:type="dxa"/>
          <w:right w:w="0" w:type="dxa"/>
        </w:tblCellMar>
      </w:tblPr>
      <w:tblGrid>
        <w:gridCol w:w="1625"/>
        <w:gridCol w:w="586"/>
        <w:gridCol w:w="2103"/>
      </w:tblGrid>
      <w:tr>
        <w:trPr/>
        <w:tc>
          <w:tcPr>
            <w:tcW w:w="1625" w:type="dxa"/>
            <w:tcBorders/>
            <w:vAlign w:val="center"/>
          </w:tcPr>
          <w:p>
            <w:pPr>
              <w:pStyle w:val="TableContents"/>
              <w:bidi w:val="0"/>
              <w:spacing w:before="0" w:after="283"/>
              <w:jc w:val="left"/>
              <w:rPr/>
            </w:pPr>
            <w:r>
              <w:rPr/>
              <w:t> </w:t>
            </w:r>
          </w:p>
        </w:tc>
        <w:tc>
          <w:tcPr>
            <w:tcW w:w="26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TVARDI THERAPEUTICS, INC.</w:t>
            </w:r>
          </w:p>
        </w:tc>
      </w:tr>
      <w:tr>
        <w:trPr/>
        <w:tc>
          <w:tcPr>
            <w:tcW w:w="1625" w:type="dxa"/>
            <w:tcBorders/>
            <w:vAlign w:val="center"/>
          </w:tcPr>
          <w:p>
            <w:pPr>
              <w:pStyle w:val="TableContents"/>
              <w:bidi w:val="0"/>
              <w:spacing w:before="0" w:after="283"/>
              <w:jc w:val="left"/>
              <w:rPr/>
            </w:pPr>
            <w:r>
              <w:rPr/>
              <w:t> </w:t>
            </w:r>
          </w:p>
        </w:tc>
        <w:tc>
          <w:tcPr>
            <w:tcW w:w="2689" w:type="dxa"/>
            <w:gridSpan w:val="2"/>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17, 2026</w:t>
            </w:r>
          </w:p>
        </w:tc>
        <w:tc>
          <w:tcPr>
            <w:tcW w:w="5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0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Imran Alibhai</w:t>
            </w:r>
          </w:p>
        </w:tc>
      </w:tr>
      <w:tr>
        <w:trPr/>
        <w:tc>
          <w:tcPr>
            <w:tcW w:w="1625"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1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Imran Alibhai</w:t>
            </w:r>
          </w:p>
        </w:tc>
      </w:tr>
      <w:tr>
        <w:trPr/>
        <w:tc>
          <w:tcPr>
            <w:tcW w:w="1625"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1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620743d1_ex5-1.htm"/>
      <w:bookmarkStart w:id="24" w:name="kstm2620743d1_ex51"/>
      <w:bookmarkEnd w:id="23"/>
      <w:bookmarkEnd w:id="24"/>
      <w:r>
        <w:rPr/>
        <w:t> </w:t>
      </w:r>
      <w:r>
        <w:br w:type="page"/>
      </w:r>
    </w:p>
    <w:p>
      <w:pPr>
        <w:pStyle w:val="TextBody"/>
        <w:bidi w:val="0"/>
        <w:jc w:val="right"/>
        <w:rPr>
          <w:b/>
        </w:rPr>
      </w:pPr>
      <w:r>
        <w:rPr>
          <w:b/>
        </w:rPr>
        <w:t>Exhibit 5.1</w:t>
      </w:r>
    </w:p>
    <w:p>
      <w:pPr>
        <w:pStyle w:val="TextBody"/>
        <w:bidi w:val="0"/>
        <w:spacing w:before="0" w:after="283"/>
        <w:jc w:val="left"/>
        <w:rPr/>
      </w:pPr>
      <w:r>
        <w:rPr/>
        <w:t> </w:t>
      </w:r>
    </w:p>
    <w:p>
      <w:pPr>
        <w:pStyle w:val="TextBody"/>
        <w:bidi w:val="0"/>
        <w:spacing w:before="0" w:after="283"/>
        <w:jc w:val="left"/>
        <w:rPr/>
      </w:pPr>
      <w:r>
        <w:rPr/>
        <w:drawing>
          <wp:inline distT="0" distB="0" distL="0" distR="0">
            <wp:extent cx="200025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0250" cy="619125"/>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283"/>
        <w:jc w:val="left"/>
        <w:rPr/>
      </w:pPr>
      <w:r>
        <w:rPr/>
        <w:t>Madison A. Jones</w:t>
      </w:r>
    </w:p>
    <w:p>
      <w:pPr>
        <w:pStyle w:val="TextBody"/>
        <w:bidi w:val="0"/>
        <w:spacing w:before="0" w:after="283"/>
        <w:jc w:val="left"/>
        <w:rPr/>
      </w:pPr>
      <w:r>
        <w:rPr/>
        <w:t>+1 202 728 7087</w:t>
      </w:r>
    </w:p>
    <w:p>
      <w:pPr>
        <w:pStyle w:val="TextBody"/>
        <w:bidi w:val="0"/>
        <w:spacing w:before="0" w:after="283"/>
        <w:jc w:val="left"/>
        <w:rPr/>
      </w:pPr>
      <w:r>
        <w:rPr/>
        <w:t>madison.jones@cooley.com</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Tvardi Therapeutics,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Sugar Creek Ctr. Blvd.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525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Sugar Land, TX 77478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Tvardi Therapeutics,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 connection with the offering by the Company of shares of its common stock, par value $0.001 per share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having an aggregate offering price of up to $9,689,765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pursuant to a Registration Statement on Form S-3 (File No. 333-295496)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filed by the Company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the base prospectus included in the Registration Statement (the “</w:t>
      </w:r>
      <w:r>
        <w:rPr>
          <w:rFonts w:ascii="Times New Roman;Times;Serif" w:hAnsi="Times New Roman;Times;Serif"/>
          <w:b/>
          <w:i/>
          <w:caps w:val="false"/>
          <w:smallCaps w:val="false"/>
          <w:sz w:val="20"/>
        </w:rPr>
        <w:t>Base Prospectus</w:t>
      </w:r>
      <w:r>
        <w:rPr>
          <w:rFonts w:ascii="Times New Roman;Times;Serif" w:hAnsi="Times New Roman;Times;Serif"/>
          <w:b w:val="false"/>
          <w:i w:val="false"/>
          <w:caps w:val="false"/>
          <w:smallCaps w:val="false"/>
          <w:sz w:val="20"/>
        </w:rPr>
        <w:t>”) and the prospectus supplement with respect to the Shares, dated July 17, 2026, filed with the Commission pursuant to Rule 424(b) under the Securities Act (together with the Base Prospectus, the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The Shares are to be sold by the Company under the Capital on Demand™ Sales Agreement, dated May 1, 2026, between the Company and JonesTrading Institutional Services LLC (the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examined and relied upon (a) the Registration Statement and the Prospectus, (b) the Agreement, (c) the Company’s certificate of incorporation and bylaws, each as currently in effect, and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assumed (i) that each sale of Shares will be duly authorized by the Board of Directors of the Company, a duly authorized committee thereof or a person or body pursuant to an authorization granted in accordance with Section 152 of the General Corporation Law of the State of Delaware (the "</w:t>
      </w:r>
      <w:r>
        <w:rPr>
          <w:rFonts w:ascii="Times New Roman;Times;Serif" w:hAnsi="Times New Roman;Times;Serif"/>
          <w:b/>
          <w:i/>
          <w:caps w:val="false"/>
          <w:smallCaps w:val="false"/>
          <w:sz w:val="20"/>
        </w:rPr>
        <w:t>DGCL</w:t>
      </w:r>
      <w:r>
        <w:rPr>
          <w:rFonts w:ascii="Times New Roman;Times;Serif" w:hAnsi="Times New Roman;Times;Serif"/>
          <w:b w:val="false"/>
          <w:i w:val="false"/>
          <w:caps w:val="false"/>
          <w:smallCaps w:val="false"/>
          <w:sz w:val="20"/>
        </w:rPr>
        <w:t>”), (ii) that no more than 9,689,765 Shares will be sold under the Agreement pursuant to the Prospectus and (iii) that the price at which the Shares are sold will equal or exceed the par value per share of the Common Stock. We express no opinion to the extent that future issuances of securities of the Company, anti-dilution adjustments to outstanding securities of the Company or other matters cause the number of shares of Common Stock issuable under the Agreement to exceed the number of shares of Common Stock available for issuance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expressed solely with respect to the DGCL. We express no opinion to the extent that any other laws are applicable to the subject matter hereof and express no opinion and provide no assurance as to compliance with any federal or state securities law, rule or regulation.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COOLEY LLP 1299 PENNSYLVANIA AVENUE, NW, SUITE 700 WASHINGTON, DC 20004-2400 </w:t>
        <w:br/>
        <w:t>T: (202) 842-7800 F: (202) 842-7899 COOLEY.COM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drawing>
          <wp:inline distT="0" distB="0" distL="0" distR="0">
            <wp:extent cx="2000250" cy="619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00250" cy="619125"/>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Tvardi Therapeutics, Inc.</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17, 2026</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Two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foregoing, in reliance thereon and subject to the assumptions, qualifications, limitations and exceptions set forth herein, we are of the opinion that the Shares, when sold and issued against payment therefor in accordance with the Agreement, the Registration Statement and the Prospectus, will be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w:t>
      </w:r>
    </w:p>
    <w:p>
      <w:pPr>
        <w:pStyle w:val="TextBody"/>
        <w:bidi w:val="0"/>
        <w:spacing w:before="0" w:after="0"/>
        <w:ind w:left="117" w:right="117"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 to our firm under the heading “Legal Matters” in the Prospectus and to the filing of this opinion as an exhibit to the Company’s Current Report on Form 8-K to be filed with the Commission for incorporation by reference into the Registration Statement. In giving such consents, we do not thereby admit that we are in the category of persons whose consent is required under Section 7 of the Securities Act or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Cooley LLP</w:t>
      </w:r>
    </w:p>
    <w:p>
      <w:pPr>
        <w:pStyle w:val="TextBody"/>
        <w:bidi w:val="0"/>
        <w:spacing w:before="0" w:after="0"/>
        <w:ind w:left="0" w:right="0" w:hanging="0"/>
        <w:jc w:val="left"/>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335"/>
        <w:gridCol w:w="1700"/>
        <w:gridCol w:w="7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Madison A. Jones</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17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Madison A. Jones</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center"/>
        <w:rPr/>
      </w:pPr>
      <w:r>
        <w:rPr/>
        <w:t xml:space="preserve">COOLEY LLP 1299 PENNSYLVANIA AVENUE, NW, SUITE 700 WASHINGTON, DC 20004-2400 </w:t>
        <w:br/>
        <w:t>T: (202) 842-7800 F: (202) 842-7899 COOLEY.COM</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1661</Words>
  <Characters>8770</Characters>
  <CharactersWithSpaces>10438</CharactersWithSpaces>
  <Paragraphs>193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