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7528d1_8k.htm"/>
      <w:bookmarkStart w:id="1" w:name="kstm261752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6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TVARDI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215"/>
        <w:gridCol w:w="60"/>
        <w:gridCol w:w="1295"/>
        <w:gridCol w:w="60"/>
        <w:gridCol w:w="17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609"/>
            <w:bookmarkEnd w:id="6"/>
            <w:r>
              <w:rPr>
                <w:rFonts w:ascii="Times New Roman;Times;Serif" w:hAnsi="Times New Roman;Times;Serif"/>
                <w:b/>
                <w:sz w:val="20"/>
              </w:rPr>
              <w:t>001-36279</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75-3175693</w:t>
            </w:r>
          </w:p>
        </w:tc>
      </w:tr>
      <w:tr>
        <w:trPr/>
        <w:tc>
          <w:tcPr>
            <w:tcW w:w="321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3 Sugar Creek Ctr. Blvd.</w:t>
              <w:br/>
            </w:r>
            <w:bookmarkStart w:id="9" w:name="xdx_907_edei--EntityAddressAddressLine2_"/>
            <w:bookmarkEnd w:id="9"/>
            <w:r>
              <w:rPr>
                <w:rFonts w:ascii="Times New Roman;Times;Serif" w:hAnsi="Times New Roman;Times;Serif"/>
                <w:b/>
                <w:i w:val="false"/>
                <w:caps w:val="false"/>
                <w:smallCaps w:val="false"/>
                <w:sz w:val="20"/>
              </w:rPr>
              <w:t>Suite 525</w:t>
              <w:br/>
            </w:r>
            <w:bookmarkStart w:id="10" w:name="xdx_906_edei--EntityAddressCityOrTown_c2"/>
            <w:bookmarkEnd w:id="10"/>
            <w:r>
              <w:rPr>
                <w:rFonts w:ascii="Times New Roman;Times;Serif" w:hAnsi="Times New Roman;Times;Serif"/>
                <w:b/>
                <w:i w:val="false"/>
                <w:caps w:val="false"/>
                <w:smallCaps w:val="false"/>
                <w:sz w:val="20"/>
              </w:rPr>
              <w:t xml:space="preserve">Sugar Land, </w:t>
            </w:r>
            <w:bookmarkStart w:id="11" w:name="xdx_905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77478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w:t>
      </w:r>
      <w:bookmarkStart w:id="13" w:name="xdx_90F_edei--CityAreaCode_c20260609__20"/>
      <w:bookmarkEnd w:id="13"/>
      <w:r>
        <w:rPr>
          <w:rFonts w:ascii="Times New Roman;Times;Serif" w:hAnsi="Times New Roman;Times;Serif"/>
          <w:b/>
          <w:sz w:val="20"/>
        </w:rPr>
        <w:t xml:space="preserve">713) </w:t>
      </w:r>
      <w:bookmarkStart w:id="14" w:name="xdx_904_edei--LocalPhoneNumber_c20260609"/>
      <w:bookmarkEnd w:id="14"/>
      <w:r>
        <w:rPr>
          <w:rFonts w:ascii="Times New Roman;Times;Serif" w:hAnsi="Times New Roman;Times;Serif"/>
          <w:b/>
          <w:sz w:val="20"/>
        </w:rPr>
        <w:t>489-8654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7_edei--SolicitingMaterial_c202606"/>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28" w:type="dxa"/>
          <w:left w:w="118" w:type="dxa"/>
          <w:bottom w:w="28" w:type="dxa"/>
          <w:right w:w="11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609"/>
            <w:bookmarkEnd w:id="19"/>
            <w:r>
              <w:rPr>
                <w:rFonts w:ascii="Times New Roman;Times;Serif" w:hAnsi="Times New Roman;Times;Serif"/>
                <w:sz w:val="20"/>
              </w:rPr>
              <w:t>Common Stock, par value $0.001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609__2"/>
            <w:bookmarkEnd w:id="20"/>
            <w:r>
              <w:rPr>
                <w:rFonts w:ascii="Times New Roman;Times;Serif" w:hAnsi="Times New Roman;Times;Serif"/>
                <w:sz w:val="20"/>
              </w:rPr>
              <w:t>TVRD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E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980"/>
        <w:gridCol w:w="5345"/>
      </w:tblGrid>
      <w:tr>
        <w:trPr/>
        <w:tc>
          <w:tcPr>
            <w:tcW w:w="980"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Tvardi Therapeutics, Inc. (the “Company”) held its Annual Meeting of Stockholders (the “Annual Meeting”). At the Annual Meeting, the Company’s stockholders voted on the four proposals set forth below. A more detailed description of each proposal is set forth in the Company’s Proxy Statement filed with the Securities and Exchange Commission on April 23,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Imran Alibhai, Ph.D., Cynthia Smith and Sujal Shah were each elected to serve as a Class II director of the Company’s Board of Directors until the 2029 Annual Meeting of Stockholders and until their successor is duly elected or until their earlier resignation or removal, by the following votes:</w:t>
      </w:r>
    </w:p>
    <w:p>
      <w:pPr>
        <w:pStyle w:val="TextBody"/>
        <w:bidi w:val="0"/>
        <w:spacing w:before="0" w:after="0"/>
        <w:ind w:left="0" w:right="0" w:firstLine="360"/>
        <w:jc w:val="both"/>
        <w:rPr>
          <w:caps w:val="false"/>
          <w:smallCaps w:val="false"/>
        </w:rPr>
      </w:pPr>
      <w:r>
        <w:rPr>
          <w:caps w:val="false"/>
          <w:smallCaps w:val="false"/>
        </w:rPr>
        <w:t> </w:t>
      </w:r>
    </w:p>
    <w:tbl>
      <w:tblPr>
        <w:tblW w:w="4095" w:type="dxa"/>
        <w:jc w:val="left"/>
        <w:tblInd w:w="0" w:type="dxa"/>
        <w:tblLayout w:type="fixed"/>
        <w:tblCellMar>
          <w:top w:w="0" w:type="dxa"/>
          <w:left w:w="0" w:type="dxa"/>
          <w:bottom w:w="28" w:type="dxa"/>
          <w:right w:w="0" w:type="dxa"/>
        </w:tblCellMar>
      </w:tblPr>
      <w:tblGrid>
        <w:gridCol w:w="1685"/>
        <w:gridCol w:w="60"/>
        <w:gridCol w:w="845"/>
        <w:gridCol w:w="60"/>
        <w:gridCol w:w="60"/>
        <w:gridCol w:w="1310"/>
        <w:gridCol w:w="75"/>
      </w:tblGrid>
      <w:tr>
        <w:trPr/>
        <w:tc>
          <w:tcPr>
            <w:tcW w:w="1685" w:type="dxa"/>
            <w:tcBorders>
              <w:bottom w:val="single" w:sz="8" w:space="0" w:color="000000"/>
            </w:tcBorders>
            <w:vAlign w:val="center"/>
          </w:tcPr>
          <w:p>
            <w:pPr>
              <w:pStyle w:val="TableContents"/>
              <w:bidi w:val="0"/>
              <w:spacing w:before="0" w:after="283"/>
              <w:jc w:val="center"/>
              <w:rPr>
                <w:b/>
                <w:sz w:val="20"/>
              </w:rPr>
            </w:pPr>
            <w:r>
              <w:rPr>
                <w:b/>
                <w:sz w:val="20"/>
              </w:rPr>
              <w:t>Nominee</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vAlign w:val="center"/>
          </w:tcPr>
          <w:p>
            <w:pPr>
              <w:pStyle w:val="TableContents"/>
              <w:bidi w:val="0"/>
              <w:spacing w:before="0" w:after="283"/>
              <w:jc w:val="center"/>
              <w:rPr>
                <w:b/>
                <w:sz w:val="20"/>
              </w:rPr>
            </w:pPr>
            <w:r>
              <w:rPr>
                <w:b/>
                <w:sz w:val="20"/>
              </w:rPr>
              <w:t>Votes Withheld</w:t>
            </w:r>
          </w:p>
        </w:tc>
        <w:tc>
          <w:tcPr>
            <w:tcW w:w="75" w:type="dxa"/>
            <w:tcBorders/>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Imran Alibhai,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3,513,039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147,472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sz w:val="20"/>
              </w:rPr>
            </w:pPr>
            <w:r>
              <w:rPr>
                <w:sz w:val="20"/>
              </w:rPr>
              <w:t>Cynthia Smith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3,392,877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sz w:val="20"/>
              </w:rPr>
            </w:pPr>
            <w:r>
              <w:rPr>
                <w:sz w:val="20"/>
              </w:rPr>
              <w:t>267,634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Sujal Shah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3,507,652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152,859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Broker Non-Votes:</w:t>
      </w:r>
      <w:r>
        <w:rPr>
          <w:rFonts w:ascii="Times New Roman;Times;Serif" w:hAnsi="Times New Roman;Times;Serif"/>
          <w:b w:val="false"/>
          <w:i w:val="false"/>
          <w:caps w:val="false"/>
          <w:smallCaps w:val="false"/>
          <w:sz w:val="20"/>
        </w:rPr>
        <w:t xml:space="preserve"> 2,975,429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 Non-Binding, Advisory Vote on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on a non-binding advisory basis, the compensation of the Company’s named executive officers, by the following votes:</w:t>
      </w:r>
    </w:p>
    <w:p>
      <w:pPr>
        <w:pStyle w:val="TextBody"/>
        <w:bidi w:val="0"/>
        <w:spacing w:before="0" w:after="0"/>
        <w:ind w:left="0" w:right="0" w:firstLine="360"/>
        <w:jc w:val="both"/>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860"/>
        <w:gridCol w:w="60"/>
        <w:gridCol w:w="1175"/>
        <w:gridCol w:w="60"/>
        <w:gridCol w:w="995"/>
        <w:gridCol w:w="60"/>
        <w:gridCol w:w="1565"/>
      </w:tblGrid>
      <w:tr>
        <w:trPr/>
        <w:tc>
          <w:tcPr>
            <w:tcW w:w="86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sz w:val="20"/>
              </w:rPr>
            </w:pPr>
            <w:r>
              <w:rPr>
                <w:sz w:val="20"/>
              </w:rPr>
              <w:t>3,482,265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161,795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16,451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2,975,429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 Advisory Vote on the Frequency of Solicitation of Advisory Stockholder Approval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indicated, on an advisory basis, one year as the preferred frequency of stockholder advisory votes on the compensation of the Company’s named executive officers, by the following votes:</w:t>
      </w:r>
    </w:p>
    <w:p>
      <w:pPr>
        <w:pStyle w:val="TextBody"/>
        <w:bidi w:val="0"/>
        <w:spacing w:before="0" w:after="0"/>
        <w:ind w:left="0" w:right="0" w:firstLine="360"/>
        <w:jc w:val="both"/>
        <w:rPr>
          <w:caps w:val="false"/>
          <w:smallCaps w:val="false"/>
        </w:rPr>
      </w:pPr>
      <w:r>
        <w:rPr>
          <w:caps w:val="false"/>
          <w:smallCaps w:val="false"/>
        </w:rPr>
        <w:t> </w:t>
      </w:r>
    </w:p>
    <w:tbl>
      <w:tblPr>
        <w:tblW w:w="4990" w:type="dxa"/>
        <w:jc w:val="left"/>
        <w:tblInd w:w="0" w:type="dxa"/>
        <w:tblLayout w:type="fixed"/>
        <w:tblCellMar>
          <w:top w:w="0" w:type="dxa"/>
          <w:left w:w="0" w:type="dxa"/>
          <w:bottom w:w="28" w:type="dxa"/>
          <w:right w:w="0" w:type="dxa"/>
        </w:tblCellMar>
      </w:tblPr>
      <w:tblGrid>
        <w:gridCol w:w="860"/>
        <w:gridCol w:w="60"/>
        <w:gridCol w:w="665"/>
        <w:gridCol w:w="60"/>
        <w:gridCol w:w="665"/>
        <w:gridCol w:w="60"/>
        <w:gridCol w:w="995"/>
        <w:gridCol w:w="60"/>
        <w:gridCol w:w="1565"/>
      </w:tblGrid>
      <w:tr>
        <w:trPr/>
        <w:tc>
          <w:tcPr>
            <w:tcW w:w="860" w:type="dxa"/>
            <w:tcBorders>
              <w:bottom w:val="single" w:sz="8" w:space="0" w:color="000000"/>
            </w:tcBorders>
            <w:vAlign w:val="center"/>
          </w:tcPr>
          <w:p>
            <w:pPr>
              <w:pStyle w:val="TableContents"/>
              <w:bidi w:val="0"/>
              <w:spacing w:before="0" w:after="283"/>
              <w:jc w:val="center"/>
              <w:rPr>
                <w:b/>
                <w:sz w:val="20"/>
              </w:rPr>
            </w:pPr>
            <w:r>
              <w:rPr>
                <w:b/>
                <w:sz w:val="20"/>
              </w:rPr>
              <w:t>1 Year</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2 Years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3 Years</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sz w:val="20"/>
              </w:rPr>
            </w:pPr>
            <w:r>
              <w:rPr>
                <w:sz w:val="20"/>
              </w:rPr>
              <w:t>3,453,729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sz w:val="20"/>
              </w:rPr>
            </w:pPr>
            <w:r>
              <w:rPr>
                <w:sz w:val="20"/>
              </w:rPr>
              <w:t>9,343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sz w:val="20"/>
              </w:rPr>
            </w:pPr>
            <w:r>
              <w:rPr>
                <w:sz w:val="20"/>
              </w:rPr>
              <w:t>15,435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182,004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2,975,429</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recommendation of the Company’s Board of Directors and based on the results of the advisory vote reported above, the Company has determined that it will hold future advisory votes on the compensation of the Company’s named executive officers on an annual basis until the next required advisory vote on the frequency of stockholder advisory votes on the compensation of the Company’s named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 Ratification of the Selection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selection by the Audit Committee of the Board of Directors of the Company of Deloitte &amp; Touche LLP as the Company’s independent registered public accounting firm for its fiscal year ending December 31, 2026, by the following votes:</w:t>
      </w:r>
    </w:p>
    <w:p>
      <w:pPr>
        <w:pStyle w:val="TextBody"/>
        <w:bidi w:val="0"/>
        <w:spacing w:before="0" w:after="0"/>
        <w:ind w:left="0" w:right="0" w:firstLine="360"/>
        <w:jc w:val="both"/>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860"/>
        <w:gridCol w:w="60"/>
        <w:gridCol w:w="1175"/>
        <w:gridCol w:w="60"/>
        <w:gridCol w:w="995"/>
        <w:gridCol w:w="60"/>
        <w:gridCol w:w="1565"/>
      </w:tblGrid>
      <w:tr>
        <w:trPr/>
        <w:tc>
          <w:tcPr>
            <w:tcW w:w="86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sz w:val="20"/>
              </w:rPr>
            </w:pPr>
            <w:r>
              <w:rPr>
                <w:sz w:val="20"/>
              </w:rPr>
              <w:t>6,523,292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62,646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50,002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1940"/>
        <w:gridCol w:w="757"/>
        <w:gridCol w:w="2682"/>
      </w:tblGrid>
      <w:tr>
        <w:trPr/>
        <w:tc>
          <w:tcPr>
            <w:tcW w:w="1940"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TVARDI THERAPEUTICS, INC.</w:t>
            </w:r>
          </w:p>
        </w:tc>
      </w:tr>
      <w:tr>
        <w:trPr/>
        <w:tc>
          <w:tcPr>
            <w:tcW w:w="1940"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June 11, 2026</w:t>
            </w:r>
          </w:p>
        </w:tc>
        <w:tc>
          <w:tcPr>
            <w:tcW w:w="757" w:type="dxa"/>
            <w:tcBorders/>
            <w:vAlign w:val="center"/>
          </w:tcPr>
          <w:p>
            <w:pPr>
              <w:pStyle w:val="TableContents"/>
              <w:bidi w:val="0"/>
              <w:spacing w:before="0" w:after="283"/>
              <w:jc w:val="left"/>
              <w:rPr/>
            </w:pPr>
            <w:r>
              <w:rPr/>
              <w:t>By:</w:t>
            </w:r>
          </w:p>
        </w:tc>
        <w:tc>
          <w:tcPr>
            <w:tcW w:w="2682" w:type="dxa"/>
            <w:tcBorders>
              <w:bottom w:val="single" w:sz="8" w:space="0" w:color="000000"/>
            </w:tcBorders>
            <w:tcMar>
              <w:bottom w:w="28" w:type="dxa"/>
            </w:tcMar>
            <w:vAlign w:val="center"/>
          </w:tcPr>
          <w:p>
            <w:pPr>
              <w:pStyle w:val="TableContents"/>
              <w:bidi w:val="0"/>
              <w:spacing w:before="0" w:after="283"/>
              <w:jc w:val="left"/>
              <w:rPr/>
            </w:pPr>
            <w:r>
              <w:rPr/>
              <w:t>/s/ Imran Alibhai</w:t>
            </w:r>
          </w:p>
        </w:tc>
      </w:tr>
      <w:tr>
        <w:trPr/>
        <w:tc>
          <w:tcPr>
            <w:tcW w:w="194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Name:</w:t>
            </w:r>
          </w:p>
        </w:tc>
        <w:tc>
          <w:tcPr>
            <w:tcW w:w="2682" w:type="dxa"/>
            <w:tcBorders/>
            <w:vAlign w:val="center"/>
          </w:tcPr>
          <w:p>
            <w:pPr>
              <w:pStyle w:val="TableContents"/>
              <w:bidi w:val="0"/>
              <w:spacing w:before="0" w:after="283"/>
              <w:jc w:val="left"/>
              <w:rPr/>
            </w:pPr>
            <w:r>
              <w:rPr/>
              <w:t>Imran Alibhai</w:t>
            </w:r>
          </w:p>
        </w:tc>
      </w:tr>
      <w:tr>
        <w:trPr/>
        <w:tc>
          <w:tcPr>
            <w:tcW w:w="194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Title:</w:t>
            </w:r>
          </w:p>
        </w:tc>
        <w:tc>
          <w:tcPr>
            <w:tcW w:w="2682"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4117</Characters>
  <CharactersWithSpaces>4862</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